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F2D4B" w14:textId="3084A972" w:rsidR="0071263D" w:rsidRPr="00DD0F56" w:rsidRDefault="00175F12" w:rsidP="0071263D">
      <w:pPr>
        <w:tabs>
          <w:tab w:val="right" w:pos="9630"/>
        </w:tabs>
        <w:spacing w:after="0"/>
        <w:rPr>
          <w:rFonts w:ascii="Arial" w:hAnsi="Arial" w:cs="Arial"/>
          <w:b/>
          <w:sz w:val="24"/>
        </w:rPr>
      </w:pPr>
      <w:r>
        <w:rPr>
          <w:rFonts w:ascii="Arial" w:hAnsi="Arial" w:cs="Arial"/>
          <w:b/>
          <w:sz w:val="24"/>
        </w:rPr>
        <w:t>3GPP TSG RAN WG1 Meeting #95</w:t>
      </w:r>
      <w:r w:rsidR="0071263D" w:rsidRPr="00C17A77">
        <w:rPr>
          <w:rFonts w:ascii="Arial" w:hAnsi="Arial" w:cs="Arial"/>
          <w:b/>
          <w:sz w:val="24"/>
        </w:rPr>
        <w:tab/>
        <w:t>R1-</w:t>
      </w:r>
      <w:r w:rsidR="004106E7" w:rsidRPr="004106E7">
        <w:rPr>
          <w:rFonts w:ascii="Arial" w:hAnsi="Arial" w:cs="Arial"/>
          <w:b/>
          <w:sz w:val="24"/>
        </w:rPr>
        <w:t>1813399</w:t>
      </w:r>
    </w:p>
    <w:p w14:paraId="4BD96A64" w14:textId="09451AF1" w:rsidR="0071263D" w:rsidRPr="00C17A77" w:rsidRDefault="00927462" w:rsidP="0071263D">
      <w:pPr>
        <w:tabs>
          <w:tab w:val="right" w:pos="9630"/>
        </w:tabs>
        <w:spacing w:after="0"/>
        <w:rPr>
          <w:rFonts w:ascii="Arial" w:hAnsi="Arial" w:cs="Arial"/>
          <w:b/>
          <w:sz w:val="24"/>
          <w:szCs w:val="24"/>
        </w:rPr>
      </w:pPr>
      <w:r w:rsidRPr="00927462">
        <w:rPr>
          <w:rFonts w:ascii="Arial" w:hAnsi="Arial" w:cs="Arial"/>
          <w:b/>
          <w:bCs/>
          <w:sz w:val="24"/>
          <w:szCs w:val="24"/>
        </w:rPr>
        <w:t>Spokane</w:t>
      </w:r>
      <w:r w:rsidR="0071263D" w:rsidRPr="00C17A77">
        <w:rPr>
          <w:rFonts w:ascii="Arial" w:hAnsi="Arial" w:cs="Arial"/>
          <w:b/>
          <w:bCs/>
          <w:sz w:val="24"/>
          <w:szCs w:val="24"/>
        </w:rPr>
        <w:t xml:space="preserve">, </w:t>
      </w:r>
      <w:r w:rsidR="009A0639">
        <w:rPr>
          <w:rFonts w:ascii="Arial" w:hAnsi="Arial" w:cs="Arial"/>
          <w:b/>
          <w:bCs/>
          <w:sz w:val="24"/>
          <w:szCs w:val="24"/>
        </w:rPr>
        <w:t>Washington, USA</w:t>
      </w:r>
      <w:r w:rsidR="0071263D" w:rsidRPr="00C17A77">
        <w:rPr>
          <w:rFonts w:ascii="Arial" w:hAnsi="Arial" w:cs="Arial"/>
          <w:b/>
          <w:bCs/>
          <w:sz w:val="24"/>
          <w:szCs w:val="24"/>
        </w:rPr>
        <w:t xml:space="preserve">, </w:t>
      </w:r>
      <w:r w:rsidR="008C29ED">
        <w:rPr>
          <w:rFonts w:ascii="Arial" w:hAnsi="Arial" w:cs="Arial"/>
          <w:b/>
          <w:bCs/>
          <w:sz w:val="24"/>
          <w:szCs w:val="24"/>
        </w:rPr>
        <w:t>November</w:t>
      </w:r>
      <w:r w:rsidR="0071263D">
        <w:rPr>
          <w:rFonts w:ascii="Arial" w:hAnsi="Arial" w:cs="Arial"/>
          <w:b/>
          <w:bCs/>
          <w:sz w:val="24"/>
          <w:szCs w:val="24"/>
        </w:rPr>
        <w:t xml:space="preserve"> </w:t>
      </w:r>
      <w:r w:rsidR="006F1B12">
        <w:rPr>
          <w:rFonts w:ascii="Arial" w:hAnsi="Arial" w:cs="Arial"/>
          <w:b/>
          <w:bCs/>
          <w:sz w:val="24"/>
          <w:szCs w:val="24"/>
        </w:rPr>
        <w:t>12</w:t>
      </w:r>
      <w:r w:rsidR="0071263D" w:rsidRPr="00C17A77">
        <w:rPr>
          <w:rFonts w:ascii="Arial" w:hAnsi="Arial" w:cs="Arial"/>
          <w:b/>
          <w:bCs/>
          <w:sz w:val="24"/>
          <w:szCs w:val="24"/>
          <w:vertAlign w:val="superscript"/>
        </w:rPr>
        <w:t>t</w:t>
      </w:r>
      <w:r w:rsidR="0071263D">
        <w:rPr>
          <w:rFonts w:ascii="Arial" w:hAnsi="Arial" w:cs="Arial"/>
          <w:b/>
          <w:bCs/>
          <w:sz w:val="24"/>
          <w:szCs w:val="24"/>
          <w:vertAlign w:val="superscript"/>
        </w:rPr>
        <w:t>h</w:t>
      </w:r>
      <w:r w:rsidR="0071263D" w:rsidRPr="00C17A77">
        <w:rPr>
          <w:rFonts w:ascii="Arial" w:hAnsi="Arial" w:cs="Arial"/>
          <w:b/>
          <w:bCs/>
          <w:sz w:val="24"/>
          <w:szCs w:val="24"/>
        </w:rPr>
        <w:t xml:space="preserve"> – </w:t>
      </w:r>
      <w:r w:rsidR="0071263D">
        <w:rPr>
          <w:rFonts w:ascii="Arial" w:hAnsi="Arial" w:cs="Arial"/>
          <w:b/>
          <w:bCs/>
          <w:sz w:val="24"/>
          <w:szCs w:val="24"/>
        </w:rPr>
        <w:t>October</w:t>
      </w:r>
      <w:r w:rsidR="0071263D" w:rsidRPr="00C17A77">
        <w:rPr>
          <w:rFonts w:ascii="Arial" w:hAnsi="Arial" w:cs="Arial"/>
          <w:b/>
          <w:bCs/>
          <w:sz w:val="24"/>
          <w:szCs w:val="24"/>
        </w:rPr>
        <w:t xml:space="preserve"> </w:t>
      </w:r>
      <w:r w:rsidR="0071263D">
        <w:rPr>
          <w:rFonts w:ascii="Arial" w:hAnsi="Arial" w:cs="Arial"/>
          <w:b/>
          <w:bCs/>
          <w:sz w:val="24"/>
          <w:szCs w:val="24"/>
        </w:rPr>
        <w:t>1</w:t>
      </w:r>
      <w:r w:rsidR="006F1B12">
        <w:rPr>
          <w:rFonts w:ascii="Arial" w:hAnsi="Arial" w:cs="Arial"/>
          <w:b/>
          <w:bCs/>
          <w:sz w:val="24"/>
          <w:szCs w:val="24"/>
        </w:rPr>
        <w:t>6</w:t>
      </w:r>
      <w:r w:rsidR="006F1B12">
        <w:rPr>
          <w:rFonts w:ascii="Arial" w:hAnsi="Arial" w:cs="Arial"/>
          <w:b/>
          <w:bCs/>
          <w:sz w:val="24"/>
          <w:szCs w:val="24"/>
          <w:vertAlign w:val="superscript"/>
        </w:rPr>
        <w:t>th</w:t>
      </w:r>
      <w:r w:rsidR="0071263D" w:rsidRPr="00C17A77">
        <w:rPr>
          <w:rFonts w:ascii="Arial" w:hAnsi="Arial" w:cs="Arial"/>
          <w:b/>
          <w:bCs/>
          <w:sz w:val="24"/>
          <w:szCs w:val="24"/>
        </w:rPr>
        <w:t>, 2018</w:t>
      </w:r>
    </w:p>
    <w:p w14:paraId="49F194EA" w14:textId="6EAE6775" w:rsidR="00E725B6" w:rsidRPr="00E624D8" w:rsidRDefault="00E725B6" w:rsidP="006472FD">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7EF3B0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r w:rsidR="006C7D80" w:rsidRPr="00E624D8">
        <w:rPr>
          <w:rFonts w:ascii="Arial" w:hAnsi="Arial"/>
          <w:sz w:val="24"/>
        </w:rPr>
        <w:tab/>
      </w:r>
      <w:r w:rsidR="007C537E">
        <w:rPr>
          <w:rFonts w:ascii="Arial" w:hAnsi="Arial"/>
          <w:sz w:val="24"/>
        </w:rPr>
        <w:t>7</w:t>
      </w:r>
      <w:r w:rsidR="004141A0">
        <w:rPr>
          <w:rFonts w:ascii="Arial" w:hAnsi="Arial"/>
          <w:sz w:val="24"/>
        </w:rPr>
        <w:t>.1</w:t>
      </w:r>
      <w:r w:rsidR="007C537E">
        <w:rPr>
          <w:rFonts w:ascii="Arial" w:hAnsi="Arial"/>
          <w:sz w:val="24"/>
        </w:rPr>
        <w:t>.3</w:t>
      </w:r>
      <w:r w:rsidR="006472FD">
        <w:rPr>
          <w:rFonts w:ascii="Arial" w:hAnsi="Arial"/>
          <w:sz w:val="24"/>
        </w:rPr>
        <w:t>.</w:t>
      </w:r>
      <w:r w:rsidR="007C537E">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38BD9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52E78" w:rsidRPr="00352E78">
        <w:rPr>
          <w:rFonts w:ascii="Arial" w:hAnsi="Arial"/>
          <w:sz w:val="22"/>
        </w:rPr>
        <w:t>Maintenance for physical downlink control channel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t>Discussion</w:t>
      </w:r>
      <w:r w:rsidR="00DA6B8E">
        <w:rPr>
          <w:rFonts w:ascii="Arial" w:hAnsi="Arial"/>
          <w:sz w:val="24"/>
        </w:rPr>
        <w:t xml:space="preserve"> and Decision</w:t>
      </w:r>
    </w:p>
    <w:p w14:paraId="19D84970" w14:textId="62EF74B2" w:rsidR="00491EEE" w:rsidRDefault="00B209B5" w:rsidP="00A341A9">
      <w:pPr>
        <w:pStyle w:val="Heading1"/>
        <w:numPr>
          <w:ilvl w:val="0"/>
          <w:numId w:val="4"/>
        </w:numPr>
      </w:pPr>
      <w:r w:rsidRPr="00CC27F5">
        <w:t>Introduction</w:t>
      </w:r>
    </w:p>
    <w:p w14:paraId="00D4D858" w14:textId="354D6B91" w:rsidR="00662B49" w:rsidRPr="00037CA8" w:rsidRDefault="00E33DB8" w:rsidP="007E69B2">
      <w:r>
        <w:t xml:space="preserve">In this </w:t>
      </w:r>
      <w:r w:rsidR="006732CD">
        <w:t>contribution</w:t>
      </w:r>
      <w:r>
        <w:t xml:space="preserve">, we </w:t>
      </w:r>
      <w:r w:rsidR="007E69B2">
        <w:t xml:space="preserve">provide </w:t>
      </w:r>
      <w:r w:rsidR="006732CD">
        <w:t xml:space="preserve">the </w:t>
      </w:r>
      <w:r w:rsidR="007E69B2">
        <w:t>maintenance</w:t>
      </w:r>
      <w:r w:rsidR="006732CD">
        <w:t xml:space="preserve"> </w:t>
      </w:r>
      <w:r w:rsidR="007E69B2">
        <w:t>for</w:t>
      </w:r>
      <w:r w:rsidR="006732CD">
        <w:t xml:space="preserve"> </w:t>
      </w:r>
      <w:r w:rsidR="000D1FEE">
        <w:t>PDCCH</w:t>
      </w:r>
      <w:r w:rsidR="007E69B2">
        <w:t xml:space="preserve"> on search space and DCI</w:t>
      </w:r>
      <w:r w:rsidR="009D25FD">
        <w:t>.</w:t>
      </w:r>
    </w:p>
    <w:p w14:paraId="7D0E761A" w14:textId="2C1FA97E" w:rsidR="009D53E3" w:rsidRDefault="00DC1639" w:rsidP="009D53E3">
      <w:pPr>
        <w:pStyle w:val="Heading1"/>
        <w:numPr>
          <w:ilvl w:val="0"/>
          <w:numId w:val="4"/>
        </w:numPr>
      </w:pPr>
      <w:r>
        <w:t>Maintenance</w:t>
      </w:r>
      <w:r w:rsidR="009D53E3">
        <w:t xml:space="preserve"> for Search Space</w:t>
      </w:r>
    </w:p>
    <w:p w14:paraId="0C01665B" w14:textId="041EC6E5" w:rsidR="004A4452" w:rsidRDefault="001F329C" w:rsidP="004A4452">
      <w:pPr>
        <w:pStyle w:val="Heading2"/>
        <w:numPr>
          <w:ilvl w:val="0"/>
          <w:numId w:val="7"/>
        </w:numPr>
      </w:pPr>
      <w:r>
        <w:t>BD/CCE L</w:t>
      </w:r>
      <w:r w:rsidR="004A4452">
        <w:t>imits</w:t>
      </w:r>
      <w:r>
        <w:t xml:space="preserve"> for</w:t>
      </w:r>
      <w:r w:rsidR="003A7989">
        <w:t xml:space="preserve"> </w:t>
      </w:r>
      <w:r w:rsidR="00230867">
        <w:t>CA</w:t>
      </w:r>
      <w:r w:rsidR="003A7989">
        <w:t xml:space="preserve"> with</w:t>
      </w:r>
      <w:r>
        <w:t xml:space="preserve"> </w:t>
      </w:r>
      <w:r w:rsidR="008F5BDA">
        <w:t>Different</w:t>
      </w:r>
      <w:r>
        <w:t xml:space="preserve"> </w:t>
      </w:r>
      <w:r w:rsidR="00923564">
        <w:t>Numerologies</w:t>
      </w:r>
      <w:r w:rsidR="00F262A1">
        <w:t xml:space="preserve"> </w:t>
      </w:r>
      <w:r w:rsidR="004E6FBE">
        <w:t>A</w:t>
      </w:r>
      <w:r w:rsidR="008F5BDA">
        <w:t>cr</w:t>
      </w:r>
      <w:r w:rsidR="00C14E24">
        <w:t>o</w:t>
      </w:r>
      <w:r w:rsidR="008F5BDA">
        <w:t>ss</w:t>
      </w:r>
      <w:r w:rsidR="00F262A1">
        <w:t xml:space="preserve"> Scheduling </w:t>
      </w:r>
      <w:r w:rsidR="008F5BDA">
        <w:t>Cells</w:t>
      </w:r>
    </w:p>
    <w:tbl>
      <w:tblPr>
        <w:tblStyle w:val="TableGrid"/>
        <w:tblW w:w="0" w:type="auto"/>
        <w:tblLook w:val="04A0" w:firstRow="1" w:lastRow="0" w:firstColumn="1" w:lastColumn="0" w:noHBand="0" w:noVBand="1"/>
      </w:tblPr>
      <w:tblGrid>
        <w:gridCol w:w="9629"/>
      </w:tblGrid>
      <w:tr w:rsidR="005E6B6A" w14:paraId="73B74955" w14:textId="77777777" w:rsidTr="005E6B6A">
        <w:tc>
          <w:tcPr>
            <w:tcW w:w="9629" w:type="dxa"/>
          </w:tcPr>
          <w:p w14:paraId="39332760" w14:textId="2264779A" w:rsidR="005E6B6A" w:rsidRPr="00D64ED3" w:rsidRDefault="005E6B6A" w:rsidP="00E329F2">
            <w:pPr>
              <w:spacing w:after="0" w:line="240" w:lineRule="auto"/>
              <w:rPr>
                <w:rFonts w:ascii="Times" w:eastAsia="Batang" w:hAnsi="Times"/>
                <w:b/>
                <w:u w:val="single"/>
                <w:lang w:val="en-GB"/>
              </w:rPr>
            </w:pPr>
            <w:r w:rsidRPr="00D64ED3">
              <w:rPr>
                <w:rFonts w:ascii="Times" w:eastAsia="Batang" w:hAnsi="Times"/>
                <w:b/>
                <w:u w:val="single"/>
                <w:lang w:val="en-GB"/>
              </w:rPr>
              <w:t xml:space="preserve">RAN1-93 </w:t>
            </w:r>
            <w:r w:rsidR="001B0D4A">
              <w:rPr>
                <w:rFonts w:ascii="Times" w:eastAsia="Batang" w:hAnsi="Times"/>
                <w:b/>
                <w:u w:val="single"/>
                <w:lang w:val="en-GB"/>
              </w:rPr>
              <w:t>A</w:t>
            </w:r>
            <w:r w:rsidRPr="00D64ED3">
              <w:rPr>
                <w:rFonts w:ascii="Times" w:eastAsia="Batang" w:hAnsi="Times"/>
                <w:b/>
                <w:u w:val="single"/>
                <w:lang w:val="en-GB"/>
              </w:rPr>
              <w:t>greements:</w:t>
            </w:r>
          </w:p>
          <w:p w14:paraId="00DBD5EF" w14:textId="77777777" w:rsidR="005E6B6A" w:rsidRPr="003B47AA" w:rsidRDefault="005E6B6A" w:rsidP="00E329F2">
            <w:r w:rsidRPr="003B47AA">
              <w:rPr>
                <w:highlight w:val="green"/>
              </w:rPr>
              <w:t>Agreements</w:t>
            </w:r>
            <w:r w:rsidRPr="003B47AA">
              <w:t>:</w:t>
            </w:r>
          </w:p>
          <w:p w14:paraId="0CAAEB4C" w14:textId="77777777" w:rsidR="005E6B6A" w:rsidRPr="003B47AA" w:rsidRDefault="005E6B6A" w:rsidP="00E329F2">
            <w:pPr>
              <w:numPr>
                <w:ilvl w:val="0"/>
                <w:numId w:val="24"/>
              </w:numPr>
              <w:overflowPunct/>
              <w:autoSpaceDE/>
              <w:autoSpaceDN/>
              <w:adjustRightInd/>
              <w:spacing w:after="0"/>
              <w:textAlignment w:val="auto"/>
            </w:pPr>
            <w:r w:rsidRPr="003B47AA">
              <w:t>For self-scheduling with different numerologies, and the number of DL-CCs is more than 4 and with up to T DL-CCs where the UE reports BD capability of y &lt; T, the limit of BDs/CCEs per CC per slot is</w:t>
            </w:r>
          </w:p>
          <w:p w14:paraId="1411824D" w14:textId="77777777" w:rsidR="005E6B6A" w:rsidRPr="003B47AA" w:rsidRDefault="005E6B6A" w:rsidP="00E329F2">
            <w:pPr>
              <w:numPr>
                <w:ilvl w:val="1"/>
                <w:numId w:val="24"/>
              </w:numPr>
              <w:overflowPunct/>
              <w:autoSpaceDE/>
              <w:autoSpaceDN/>
              <w:adjustRightInd/>
              <w:spacing w:after="0"/>
              <w:textAlignment w:val="auto"/>
            </w:pPr>
            <w:r w:rsidRPr="003B47AA">
              <w:t>(</w:t>
            </w:r>
            <w:r w:rsidRPr="003B47AA">
              <w:rPr>
                <w:highlight w:val="darkYellow"/>
              </w:rPr>
              <w:t>Working assumption</w:t>
            </w:r>
            <w:r w:rsidRPr="003B47AA">
              <w:t>) The total number of BDs/CCEs across CCs per numerology is based on UE BD capability. It can be split across CCs for the given numerology, subject to the non-CA limit on each CC.</w:t>
            </w:r>
          </w:p>
          <w:p w14:paraId="7EC09215" w14:textId="77777777" w:rsidR="005E6B6A" w:rsidRPr="003B47AA" w:rsidRDefault="005E6B6A" w:rsidP="00E329F2">
            <w:pPr>
              <w:numPr>
                <w:ilvl w:val="2"/>
                <w:numId w:val="24"/>
              </w:numPr>
              <w:overflowPunct/>
              <w:autoSpaceDE/>
              <w:autoSpaceDN/>
              <w:adjustRightInd/>
              <w:spacing w:after="0"/>
              <w:textAlignment w:val="auto"/>
            </w:pPr>
            <w:r w:rsidRPr="003B47AA">
              <w:t>If a UE is configured with DL-CCs of X0, X1, X2, X3, where Xi denotes the number of DL-CCs with the numerology i, the limit of (BDs or CCEs) for the DL-CCs with the numerology i is given by Floor{Xi / (X0 + X1 + X2 + X3) * (Mi or Ni) * y} per slot of the numerology i</w:t>
            </w:r>
          </w:p>
          <w:p w14:paraId="3CB12A79" w14:textId="6A338258" w:rsidR="008D1065" w:rsidRPr="009068CE" w:rsidRDefault="005E6B6A" w:rsidP="009068CE">
            <w:pPr>
              <w:numPr>
                <w:ilvl w:val="1"/>
                <w:numId w:val="24"/>
              </w:numPr>
              <w:overflowPunct/>
              <w:autoSpaceDE/>
              <w:autoSpaceDN/>
              <w:adjustRightInd/>
              <w:spacing w:after="0"/>
              <w:textAlignment w:val="auto"/>
            </w:pPr>
            <w:r w:rsidRPr="003B47AA">
              <w:t>For SCell, NW ensures no overbooking based on non-CA case occurs</w:t>
            </w:r>
          </w:p>
        </w:tc>
      </w:tr>
      <w:tr w:rsidR="009068CE" w14:paraId="23ED7696" w14:textId="77777777" w:rsidTr="005E6B6A">
        <w:tc>
          <w:tcPr>
            <w:tcW w:w="9629" w:type="dxa"/>
          </w:tcPr>
          <w:p w14:paraId="551C63BA" w14:textId="65402394" w:rsidR="009068CE" w:rsidRPr="00D64ED3" w:rsidRDefault="009068CE" w:rsidP="009068CE">
            <w:pPr>
              <w:spacing w:after="0" w:line="240" w:lineRule="auto"/>
              <w:rPr>
                <w:rFonts w:ascii="Times" w:eastAsia="Batang" w:hAnsi="Times"/>
                <w:b/>
                <w:u w:val="single"/>
                <w:lang w:val="en-GB"/>
              </w:rPr>
            </w:pPr>
            <w:r w:rsidRPr="00D64ED3">
              <w:rPr>
                <w:rFonts w:ascii="Times" w:eastAsia="Batang" w:hAnsi="Times"/>
                <w:b/>
                <w:u w:val="single"/>
                <w:lang w:val="en-GB"/>
              </w:rPr>
              <w:t xml:space="preserve">RAN1-94 </w:t>
            </w:r>
            <w:r w:rsidR="001B0D4A">
              <w:rPr>
                <w:rFonts w:ascii="Times" w:eastAsia="Batang" w:hAnsi="Times"/>
                <w:b/>
                <w:u w:val="single"/>
                <w:lang w:val="en-GB"/>
              </w:rPr>
              <w:t>A</w:t>
            </w:r>
            <w:r w:rsidRPr="00D64ED3">
              <w:rPr>
                <w:rFonts w:ascii="Times" w:eastAsia="Batang" w:hAnsi="Times"/>
                <w:b/>
                <w:u w:val="single"/>
                <w:lang w:val="en-GB"/>
              </w:rPr>
              <w:t>greement:</w:t>
            </w:r>
          </w:p>
          <w:p w14:paraId="3D2AB6C7" w14:textId="77777777" w:rsidR="009068CE" w:rsidRPr="009E7C08" w:rsidRDefault="009068CE" w:rsidP="009068CE">
            <w:pPr>
              <w:spacing w:after="0" w:line="240" w:lineRule="auto"/>
              <w:rPr>
                <w:rFonts w:ascii="Times" w:eastAsia="Batang" w:hAnsi="Times"/>
                <w:lang w:val="en-GB"/>
              </w:rPr>
            </w:pPr>
            <w:r w:rsidRPr="009E7C08">
              <w:rPr>
                <w:rFonts w:ascii="Times" w:eastAsia="Batang" w:hAnsi="Times"/>
                <w:highlight w:val="green"/>
                <w:lang w:val="en-GB"/>
              </w:rPr>
              <w:t>Agreements</w:t>
            </w:r>
            <w:r w:rsidRPr="009E7C08">
              <w:rPr>
                <w:rFonts w:ascii="Times" w:eastAsia="Batang" w:hAnsi="Times"/>
                <w:lang w:val="en-GB"/>
              </w:rPr>
              <w:t>:</w:t>
            </w:r>
          </w:p>
          <w:p w14:paraId="2AB2D2D3" w14:textId="77777777" w:rsidR="009068CE" w:rsidRPr="009E7C08" w:rsidRDefault="009068CE" w:rsidP="009068CE">
            <w:pPr>
              <w:spacing w:after="0" w:line="240" w:lineRule="auto"/>
              <w:ind w:left="720" w:hanging="720"/>
              <w:rPr>
                <w:rFonts w:ascii="Times" w:eastAsia="Batang" w:hAnsi="Times"/>
                <w:lang w:val="en-GB" w:eastAsia="ja-JP"/>
              </w:rPr>
            </w:pPr>
            <w:r w:rsidRPr="009E7C08">
              <w:rPr>
                <w:rFonts w:ascii="Times" w:eastAsia="Batang" w:hAnsi="Times"/>
                <w:lang w:val="en-GB" w:eastAsia="ja-JP"/>
              </w:rPr>
              <w:t>RAN1#93 agreements are updated as follows (to cover Case 5):</w:t>
            </w:r>
          </w:p>
          <w:p w14:paraId="294EBD06" w14:textId="77777777" w:rsidR="009068CE" w:rsidRPr="009E7C08" w:rsidRDefault="009068CE" w:rsidP="009068CE">
            <w:pPr>
              <w:numPr>
                <w:ilvl w:val="1"/>
                <w:numId w:val="20"/>
              </w:numPr>
              <w:overflowPunct/>
              <w:autoSpaceDE/>
              <w:autoSpaceDN/>
              <w:adjustRightInd/>
              <w:snapToGrid w:val="0"/>
              <w:spacing w:after="0" w:line="240" w:lineRule="auto"/>
              <w:textAlignment w:val="auto"/>
              <w:rPr>
                <w:rFonts w:ascii="Times" w:eastAsia="DengXian" w:hAnsi="Times" w:cs="Times"/>
                <w:lang w:val="en-GB" w:eastAsia="ja-JP"/>
              </w:rPr>
            </w:pPr>
            <w:r w:rsidRPr="009E7C08">
              <w:rPr>
                <w:rFonts w:ascii="Times" w:eastAsia="DengXian" w:hAnsi="Times" w:cs="Times"/>
                <w:lang w:val="en-GB" w:eastAsia="ja-JP"/>
              </w:rPr>
              <w:t xml:space="preserve">For self-scheduling with same numerology </w:t>
            </w:r>
            <w:r w:rsidRPr="009E7C08">
              <w:rPr>
                <w:rFonts w:ascii="Times" w:eastAsia="DengXian" w:hAnsi="Times" w:cs="Times"/>
                <w:color w:val="FF0000"/>
                <w:u w:val="single"/>
                <w:lang w:val="en-GB" w:eastAsia="ja-JP"/>
              </w:rPr>
              <w:t>or for cross-carrier scheduling with the same numerology for all the DL serving cells</w:t>
            </w:r>
            <w:r w:rsidRPr="009E7C08">
              <w:rPr>
                <w:rFonts w:ascii="Times" w:eastAsia="DengXian" w:hAnsi="Times" w:cs="Times"/>
                <w:lang w:val="en-GB" w:eastAsia="ja-JP"/>
              </w:rPr>
              <w:t>, and the number of DL-CCs is more than 4 and with up to T DL-CCs where the UE reports BD capability of y &lt; T, the limit of BDs/CCEs per CC per slot is</w:t>
            </w:r>
          </w:p>
          <w:p w14:paraId="4CB656E3" w14:textId="77777777" w:rsidR="009068CE" w:rsidRPr="009E7C08" w:rsidRDefault="009068CE" w:rsidP="009068CE">
            <w:pPr>
              <w:numPr>
                <w:ilvl w:val="2"/>
                <w:numId w:val="20"/>
              </w:numPr>
              <w:overflowPunct/>
              <w:autoSpaceDE/>
              <w:autoSpaceDN/>
              <w:adjustRightInd/>
              <w:snapToGrid w:val="0"/>
              <w:spacing w:after="0" w:line="240" w:lineRule="auto"/>
              <w:textAlignment w:val="auto"/>
              <w:rPr>
                <w:rFonts w:ascii="Times" w:eastAsia="DengXian" w:hAnsi="Times" w:cs="Times"/>
                <w:lang w:val="en-GB" w:eastAsia="ja-JP"/>
              </w:rPr>
            </w:pPr>
            <w:r w:rsidRPr="009E7C08">
              <w:rPr>
                <w:rFonts w:ascii="Times" w:eastAsia="DengXian" w:hAnsi="Times" w:cs="Times"/>
                <w:lang w:val="en-GB" w:eastAsia="ja-JP"/>
              </w:rPr>
              <w:t>The total number of BDs/CCEs across CCs is based on UE BD capability. It can be split across CCs, subject to the non-CA limit on each CC.</w:t>
            </w:r>
          </w:p>
          <w:p w14:paraId="0A3015CA" w14:textId="77777777" w:rsidR="009068CE" w:rsidRPr="009E7C08" w:rsidRDefault="009068CE" w:rsidP="009068CE">
            <w:pPr>
              <w:numPr>
                <w:ilvl w:val="2"/>
                <w:numId w:val="20"/>
              </w:numPr>
              <w:overflowPunct/>
              <w:autoSpaceDE/>
              <w:autoSpaceDN/>
              <w:adjustRightInd/>
              <w:snapToGrid w:val="0"/>
              <w:spacing w:after="0" w:line="240" w:lineRule="auto"/>
              <w:textAlignment w:val="auto"/>
              <w:rPr>
                <w:rFonts w:ascii="Times" w:eastAsia="DengXian" w:hAnsi="Times" w:cs="Times"/>
                <w:color w:val="FF0000"/>
                <w:u w:val="single"/>
                <w:lang w:val="en-GB" w:eastAsia="ja-JP"/>
              </w:rPr>
            </w:pPr>
            <w:r w:rsidRPr="009E7C08">
              <w:rPr>
                <w:rFonts w:ascii="Times" w:eastAsia="DengXian" w:hAnsi="Times" w:cs="Times"/>
                <w:color w:val="FF0000"/>
                <w:u w:val="single"/>
                <w:lang w:val="en-GB" w:eastAsia="ja-JP"/>
              </w:rPr>
              <w:t>For SCell, NW ensures no overbooking based on non-CA case occurs. For cross-carrier scheduling, BDs/CCEs overlapped across DL serving cells are independently counted (i.e., counted per serving cell).</w:t>
            </w:r>
          </w:p>
          <w:p w14:paraId="71C09942" w14:textId="77777777" w:rsidR="009068CE" w:rsidRPr="009E7C08" w:rsidRDefault="009068CE" w:rsidP="009068CE">
            <w:pPr>
              <w:spacing w:after="0" w:line="240" w:lineRule="auto"/>
              <w:ind w:left="720" w:hanging="720"/>
              <w:rPr>
                <w:rFonts w:ascii="Times" w:eastAsia="Batang" w:hAnsi="Times"/>
                <w:lang w:val="en-GB"/>
              </w:rPr>
            </w:pPr>
            <w:r w:rsidRPr="009E7C08">
              <w:rPr>
                <w:rFonts w:ascii="Times" w:eastAsia="Batang" w:hAnsi="Times"/>
                <w:b/>
                <w:u w:val="single"/>
                <w:lang w:val="en-GB"/>
              </w:rPr>
              <w:t>Conclusion</w:t>
            </w:r>
            <w:r w:rsidRPr="009E7C08">
              <w:rPr>
                <w:rFonts w:ascii="Times" w:eastAsia="Batang" w:hAnsi="Times"/>
                <w:lang w:val="en-GB"/>
              </w:rPr>
              <w:t>:</w:t>
            </w:r>
          </w:p>
          <w:p w14:paraId="06B33463" w14:textId="04C45FA2" w:rsidR="009068CE" w:rsidRPr="00D64ED3" w:rsidRDefault="009068CE" w:rsidP="009068CE">
            <w:pPr>
              <w:spacing w:after="0"/>
              <w:rPr>
                <w:rFonts w:ascii="Times" w:eastAsia="Batang" w:hAnsi="Times"/>
                <w:b/>
                <w:u w:val="single"/>
                <w:lang w:val="en-GB"/>
              </w:rPr>
            </w:pPr>
            <w:r w:rsidRPr="009E7C08">
              <w:rPr>
                <w:rFonts w:ascii="Times" w:eastAsia="DengXian" w:hAnsi="Times" w:cs="Times"/>
                <w:lang w:val="en-GB" w:eastAsia="ja-JP"/>
              </w:rPr>
              <w:t xml:space="preserve">At least for self-scheduling and for cross-carrier scheduling with the same numerology for all the DL serving cells, total number of CCEs or BDs corresponding to the remaining PDCCH candidates after PDCCH candidates are dropped </w:t>
            </w:r>
            <w:r w:rsidRPr="009E7C08">
              <w:rPr>
                <w:rFonts w:ascii="Times" w:eastAsia="DengXian" w:hAnsi="Times" w:cs="Times"/>
                <w:lang w:val="en-GB" w:eastAsia="ja-JP"/>
              </w:rPr>
              <w:lastRenderedPageBreak/>
              <w:t>based on the non-CA limit for the PCell (PSCell) and the configured PDCCH candidates for SCells is guaranteed by network to be no more than the CA limit.</w:t>
            </w:r>
          </w:p>
        </w:tc>
      </w:tr>
      <w:tr w:rsidR="003A7989" w14:paraId="17D4647C" w14:textId="77777777" w:rsidTr="00E329F2">
        <w:tc>
          <w:tcPr>
            <w:tcW w:w="9629" w:type="dxa"/>
          </w:tcPr>
          <w:p w14:paraId="6272D67C" w14:textId="66AB8BE2" w:rsidR="000D7D6B" w:rsidRPr="00D64ED3" w:rsidRDefault="000D7D6B" w:rsidP="00D64ED3">
            <w:pPr>
              <w:spacing w:after="0" w:line="240" w:lineRule="auto"/>
              <w:rPr>
                <w:rFonts w:ascii="Times" w:eastAsia="Batang" w:hAnsi="Times"/>
                <w:b/>
                <w:u w:val="single"/>
                <w:lang w:val="en-GB"/>
              </w:rPr>
            </w:pPr>
            <w:r w:rsidRPr="00D64ED3">
              <w:rPr>
                <w:rFonts w:ascii="Times" w:eastAsia="Batang" w:hAnsi="Times"/>
                <w:b/>
                <w:u w:val="single"/>
                <w:lang w:val="en-GB"/>
              </w:rPr>
              <w:lastRenderedPageBreak/>
              <w:t>RAN1-94</w:t>
            </w:r>
            <w:r w:rsidR="00C408E4">
              <w:rPr>
                <w:rFonts w:ascii="Times" w:eastAsia="Batang" w:hAnsi="Times"/>
                <w:b/>
                <w:u w:val="single"/>
                <w:lang w:val="en-GB"/>
              </w:rPr>
              <w:t>b</w:t>
            </w:r>
            <w:r w:rsidR="001B0D4A">
              <w:rPr>
                <w:rFonts w:ascii="Times" w:eastAsia="Batang" w:hAnsi="Times"/>
                <w:b/>
                <w:u w:val="single"/>
                <w:lang w:val="en-GB"/>
              </w:rPr>
              <w:t xml:space="preserve"> A</w:t>
            </w:r>
            <w:r w:rsidRPr="00D64ED3">
              <w:rPr>
                <w:rFonts w:ascii="Times" w:eastAsia="Batang" w:hAnsi="Times"/>
                <w:b/>
                <w:u w:val="single"/>
                <w:lang w:val="en-GB"/>
              </w:rPr>
              <w:t>greements:</w:t>
            </w:r>
          </w:p>
          <w:p w14:paraId="1C3C7767" w14:textId="0E6F6498" w:rsidR="003A7989" w:rsidRPr="00E23C21" w:rsidRDefault="003A7989" w:rsidP="00E329F2">
            <w:pPr>
              <w:rPr>
                <w:lang w:eastAsia="x-none"/>
              </w:rPr>
            </w:pPr>
            <w:r w:rsidRPr="00E23C21">
              <w:rPr>
                <w:highlight w:val="green"/>
                <w:lang w:eastAsia="x-none"/>
              </w:rPr>
              <w:t>Agreements</w:t>
            </w:r>
            <w:r w:rsidRPr="00E23C21">
              <w:rPr>
                <w:lang w:eastAsia="x-none"/>
              </w:rPr>
              <w:t>:</w:t>
            </w:r>
          </w:p>
          <w:p w14:paraId="56BD793E" w14:textId="77777777" w:rsidR="003A7989" w:rsidRPr="00E23C21" w:rsidRDefault="003A7989" w:rsidP="00E329F2">
            <w:pPr>
              <w:pStyle w:val="ListParagraph"/>
              <w:numPr>
                <w:ilvl w:val="0"/>
                <w:numId w:val="17"/>
              </w:numPr>
              <w:spacing w:after="120" w:line="276" w:lineRule="auto"/>
              <w:contextualSpacing w:val="0"/>
              <w:rPr>
                <w:sz w:val="20"/>
                <w:szCs w:val="20"/>
                <w:lang w:eastAsia="ja-JP"/>
              </w:rPr>
            </w:pPr>
            <w:r w:rsidRPr="00E23C21">
              <w:rPr>
                <w:rFonts w:hint="eastAsia"/>
                <w:sz w:val="20"/>
                <w:szCs w:val="20"/>
                <w:lang w:eastAsia="ja-JP"/>
              </w:rPr>
              <w:t>F</w:t>
            </w:r>
            <w:r w:rsidRPr="00E23C21">
              <w:rPr>
                <w:sz w:val="20"/>
                <w:szCs w:val="20"/>
                <w:lang w:eastAsia="ja-JP"/>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E23C21">
              <w:rPr>
                <w:color w:val="FF0000"/>
                <w:sz w:val="20"/>
                <w:szCs w:val="20"/>
                <w:u w:val="single"/>
                <w:lang w:eastAsia="ja-JP"/>
              </w:rPr>
              <w:t>scheduling</w:t>
            </w:r>
            <w:r w:rsidRPr="00E23C21">
              <w:rPr>
                <w:sz w:val="20"/>
                <w:szCs w:val="20"/>
                <w:lang w:eastAsia="ja-JP"/>
              </w:rPr>
              <w:t xml:space="preserve"> CC per slot is (the number of CCs schedulable by the scheduling CC) x (the limit of BDs/CCEs for non-CA case)</w:t>
            </w:r>
          </w:p>
          <w:p w14:paraId="3DE11CA9" w14:textId="77777777" w:rsidR="003A7989" w:rsidRPr="00E23C21" w:rsidRDefault="003A7989" w:rsidP="00E329F2">
            <w:pPr>
              <w:pStyle w:val="ListParagraph"/>
              <w:numPr>
                <w:ilvl w:val="0"/>
                <w:numId w:val="17"/>
              </w:numPr>
              <w:spacing w:after="120" w:line="276" w:lineRule="auto"/>
              <w:contextualSpacing w:val="0"/>
              <w:rPr>
                <w:sz w:val="20"/>
                <w:szCs w:val="20"/>
                <w:lang w:eastAsia="ja-JP"/>
              </w:rPr>
            </w:pPr>
            <w:r w:rsidRPr="00E23C21">
              <w:rPr>
                <w:rFonts w:hint="eastAsia"/>
                <w:sz w:val="20"/>
                <w:szCs w:val="20"/>
                <w:lang w:eastAsia="ja-JP"/>
              </w:rPr>
              <w:t>F</w:t>
            </w:r>
            <w:r w:rsidRPr="00E23C21">
              <w:rPr>
                <w:sz w:val="20"/>
                <w:szCs w:val="20"/>
                <w:lang w:eastAsia="ja-JP"/>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E23C21">
              <w:rPr>
                <w:color w:val="FF0000"/>
                <w:sz w:val="20"/>
                <w:szCs w:val="20"/>
                <w:u w:val="single"/>
                <w:lang w:eastAsia="ja-JP"/>
              </w:rPr>
              <w:t>per numerology</w:t>
            </w:r>
            <w:r w:rsidRPr="00E23C21">
              <w:rPr>
                <w:sz w:val="20"/>
                <w:szCs w:val="20"/>
                <w:lang w:eastAsia="ja-JP"/>
              </w:rPr>
              <w:t xml:space="preserve"> per slot is Floor{Xi / (X0 + X1 + X2 + X3) * (Mi or Ni) * y)}, where;</w:t>
            </w:r>
          </w:p>
          <w:p w14:paraId="001550C5" w14:textId="77777777" w:rsidR="003A7989" w:rsidRPr="00E23C21" w:rsidRDefault="003A7989" w:rsidP="00E329F2">
            <w:pPr>
              <w:pStyle w:val="ListParagraph"/>
              <w:numPr>
                <w:ilvl w:val="1"/>
                <w:numId w:val="17"/>
              </w:numPr>
              <w:spacing w:after="120" w:line="276" w:lineRule="auto"/>
              <w:contextualSpacing w:val="0"/>
              <w:rPr>
                <w:sz w:val="20"/>
                <w:szCs w:val="20"/>
                <w:lang w:eastAsia="ja-JP"/>
              </w:rPr>
            </w:pPr>
            <w:r w:rsidRPr="00E23C21">
              <w:rPr>
                <w:rFonts w:hint="eastAsia"/>
                <w:sz w:val="20"/>
                <w:szCs w:val="20"/>
                <w:lang w:eastAsia="ja-JP"/>
              </w:rPr>
              <w:t>X</w:t>
            </w:r>
            <w:r w:rsidRPr="00E23C21">
              <w:rPr>
                <w:sz w:val="20"/>
                <w:szCs w:val="20"/>
                <w:lang w:eastAsia="ja-JP"/>
              </w:rPr>
              <w:t>i (i=0, 1, 2, 3) denotes the number of DL-CCs per numerology i</w:t>
            </w:r>
          </w:p>
          <w:p w14:paraId="4CC85315" w14:textId="77777777" w:rsidR="003A7989" w:rsidRPr="00E23C21" w:rsidRDefault="003A7989" w:rsidP="00E329F2">
            <w:pPr>
              <w:pStyle w:val="ListParagraph"/>
              <w:numPr>
                <w:ilvl w:val="1"/>
                <w:numId w:val="17"/>
              </w:numPr>
              <w:spacing w:after="120" w:line="276" w:lineRule="auto"/>
              <w:contextualSpacing w:val="0"/>
              <w:rPr>
                <w:sz w:val="20"/>
                <w:szCs w:val="20"/>
                <w:lang w:eastAsia="ja-JP"/>
              </w:rPr>
            </w:pPr>
            <w:r w:rsidRPr="00E23C21">
              <w:rPr>
                <w:rFonts w:hint="eastAsia"/>
                <w:sz w:val="20"/>
                <w:szCs w:val="20"/>
                <w:lang w:eastAsia="ja-JP"/>
              </w:rPr>
              <w:t>M</w:t>
            </w:r>
            <w:r w:rsidRPr="00E23C21">
              <w:rPr>
                <w:sz w:val="20"/>
                <w:szCs w:val="20"/>
                <w:lang w:eastAsia="ja-JP"/>
              </w:rPr>
              <w:t>i and Ni denote the number of BDs and CCEs per slot specified for non-CA case for numerology i, respectively</w:t>
            </w:r>
          </w:p>
          <w:p w14:paraId="3C282B57" w14:textId="77777777" w:rsidR="003A7989" w:rsidRPr="00E23C21" w:rsidRDefault="003A7989" w:rsidP="00E329F2">
            <w:pPr>
              <w:pStyle w:val="ListParagraph"/>
              <w:numPr>
                <w:ilvl w:val="0"/>
                <w:numId w:val="17"/>
              </w:numPr>
              <w:spacing w:after="120" w:line="276" w:lineRule="auto"/>
              <w:contextualSpacing w:val="0"/>
              <w:rPr>
                <w:sz w:val="20"/>
                <w:szCs w:val="20"/>
                <w:lang w:eastAsia="ja-JP"/>
              </w:rPr>
            </w:pPr>
            <w:r w:rsidRPr="00E23C21">
              <w:rPr>
                <w:sz w:val="20"/>
                <w:szCs w:val="20"/>
                <w:lang w:eastAsia="ja-JP"/>
              </w:rPr>
              <w:t>Discuss further offline per CC limit for the above two cases – revisit in RAN1#95</w:t>
            </w:r>
          </w:p>
          <w:p w14:paraId="6C13807E" w14:textId="77777777" w:rsidR="003A7989" w:rsidRPr="00E23C21" w:rsidRDefault="003A7989" w:rsidP="00E329F2">
            <w:pPr>
              <w:pStyle w:val="ListParagraph"/>
              <w:numPr>
                <w:ilvl w:val="1"/>
                <w:numId w:val="17"/>
              </w:numPr>
              <w:spacing w:after="120" w:line="276" w:lineRule="auto"/>
              <w:contextualSpacing w:val="0"/>
              <w:rPr>
                <w:sz w:val="20"/>
                <w:szCs w:val="20"/>
                <w:lang w:eastAsia="ja-JP"/>
              </w:rPr>
            </w:pPr>
            <w:r w:rsidRPr="00E23C21">
              <w:rPr>
                <w:sz w:val="20"/>
                <w:szCs w:val="20"/>
                <w:lang w:eastAsia="ja-JP"/>
              </w:rPr>
              <w:t>Take into account the number of search spaces (i.e., up to 10 per BWP in RAN1 spec)</w:t>
            </w:r>
          </w:p>
          <w:p w14:paraId="43356473" w14:textId="77777777" w:rsidR="003A7989" w:rsidRPr="00E23C21" w:rsidRDefault="003A7989" w:rsidP="00E329F2">
            <w:pPr>
              <w:pStyle w:val="ListParagraph"/>
              <w:numPr>
                <w:ilvl w:val="2"/>
                <w:numId w:val="17"/>
              </w:numPr>
              <w:spacing w:after="120" w:line="276" w:lineRule="auto"/>
              <w:contextualSpacing w:val="0"/>
              <w:rPr>
                <w:sz w:val="20"/>
                <w:szCs w:val="20"/>
                <w:lang w:eastAsia="ja-JP"/>
              </w:rPr>
            </w:pPr>
            <w:r w:rsidRPr="00E23C21">
              <w:rPr>
                <w:sz w:val="20"/>
                <w:szCs w:val="20"/>
                <w:lang w:eastAsia="ja-JP"/>
              </w:rPr>
              <w:t>Especially for cross-carrier scheduling.</w:t>
            </w:r>
          </w:p>
          <w:p w14:paraId="725B6139" w14:textId="77777777" w:rsidR="003A7989" w:rsidRPr="00E23C21" w:rsidRDefault="003A7989" w:rsidP="00E329F2">
            <w:pPr>
              <w:rPr>
                <w:lang w:eastAsia="x-none"/>
              </w:rPr>
            </w:pPr>
            <w:r w:rsidRPr="00E23C21">
              <w:rPr>
                <w:highlight w:val="green"/>
                <w:lang w:eastAsia="x-none"/>
              </w:rPr>
              <w:t>Agreements</w:t>
            </w:r>
            <w:r w:rsidRPr="00E23C21">
              <w:rPr>
                <w:lang w:eastAsia="x-none"/>
              </w:rPr>
              <w:t>:</w:t>
            </w:r>
          </w:p>
          <w:p w14:paraId="36ADB28E" w14:textId="77777777" w:rsidR="003A7989" w:rsidRPr="00E23C21" w:rsidRDefault="003A7989" w:rsidP="00E329F2">
            <w:pPr>
              <w:pStyle w:val="ListParagraph"/>
              <w:numPr>
                <w:ilvl w:val="0"/>
                <w:numId w:val="19"/>
              </w:numPr>
              <w:spacing w:after="120" w:line="276" w:lineRule="auto"/>
              <w:contextualSpacing w:val="0"/>
              <w:rPr>
                <w:sz w:val="20"/>
                <w:szCs w:val="20"/>
                <w:lang w:eastAsia="ja-JP"/>
              </w:rPr>
            </w:pPr>
            <w:r w:rsidRPr="00E23C21">
              <w:rPr>
                <w:rFonts w:hint="eastAsia"/>
                <w:sz w:val="20"/>
                <w:szCs w:val="20"/>
                <w:lang w:eastAsia="ja-JP"/>
              </w:rPr>
              <w:t>U</w:t>
            </w:r>
            <w:r w:rsidRPr="00E23C21">
              <w:rPr>
                <w:sz w:val="20"/>
                <w:szCs w:val="20"/>
                <w:lang w:eastAsia="ja-JP"/>
              </w:rPr>
              <w:t>pdate the RAN1#94 conclusion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3A7989" w:rsidRPr="00E23C21" w14:paraId="0D62B526" w14:textId="77777777" w:rsidTr="00E329F2">
              <w:tc>
                <w:tcPr>
                  <w:tcW w:w="9558" w:type="dxa"/>
                  <w:shd w:val="clear" w:color="auto" w:fill="auto"/>
                </w:tcPr>
                <w:p w14:paraId="40A7CC53" w14:textId="77777777" w:rsidR="003A7989" w:rsidRPr="00E23C21" w:rsidRDefault="003A7989" w:rsidP="00E329F2">
                  <w:r w:rsidRPr="00E23C21">
                    <w:rPr>
                      <w:b/>
                      <w:u w:val="single"/>
                    </w:rPr>
                    <w:t>Conclusion</w:t>
                  </w:r>
                  <w:r w:rsidRPr="00E23C21">
                    <w:t>:</w:t>
                  </w:r>
                </w:p>
                <w:p w14:paraId="005664B9" w14:textId="77777777" w:rsidR="003A7989" w:rsidRPr="00E23C21" w:rsidRDefault="003A7989" w:rsidP="00E329F2">
                  <w:pPr>
                    <w:pStyle w:val="ListParagraph"/>
                    <w:numPr>
                      <w:ilvl w:val="1"/>
                      <w:numId w:val="18"/>
                    </w:numPr>
                    <w:spacing w:line="276" w:lineRule="auto"/>
                    <w:contextualSpacing w:val="0"/>
                    <w:rPr>
                      <w:sz w:val="20"/>
                      <w:szCs w:val="20"/>
                      <w:lang w:eastAsia="ja-JP"/>
                    </w:rPr>
                  </w:pPr>
                  <w:r w:rsidRPr="00E23C21">
                    <w:rPr>
                      <w:strike/>
                      <w:color w:val="FF0000"/>
                      <w:sz w:val="20"/>
                      <w:szCs w:val="20"/>
                      <w:lang w:eastAsia="ja-JP"/>
                    </w:rPr>
                    <w:t>At least f</w:t>
                  </w:r>
                  <w:r w:rsidRPr="00E23C21">
                    <w:rPr>
                      <w:color w:val="FF0000"/>
                      <w:sz w:val="20"/>
                      <w:szCs w:val="20"/>
                      <w:u w:val="single"/>
                      <w:lang w:eastAsia="ja-JP"/>
                    </w:rPr>
                    <w:t>F</w:t>
                  </w:r>
                  <w:r w:rsidRPr="00E23C21">
                    <w:rPr>
                      <w:sz w:val="20"/>
                      <w:szCs w:val="20"/>
                      <w:lang w:eastAsia="ja-JP"/>
                    </w:rPr>
                    <w:t>or self-scheduling and for cross-carrier scheduling with the same numerology for all the DL serving cells</w:t>
                  </w:r>
                  <w:r w:rsidRPr="00E23C21">
                    <w:rPr>
                      <w:sz w:val="20"/>
                      <w:szCs w:val="20"/>
                    </w:rPr>
                    <w:t xml:space="preserve"> </w:t>
                  </w:r>
                  <w:r w:rsidRPr="00E23C21">
                    <w:rPr>
                      <w:color w:val="FF0000"/>
                      <w:sz w:val="20"/>
                      <w:szCs w:val="20"/>
                      <w:u w:val="single"/>
                    </w:rPr>
                    <w:t xml:space="preserve">and </w:t>
                  </w:r>
                  <w:r w:rsidRPr="00E23C21">
                    <w:rPr>
                      <w:color w:val="FF0000"/>
                      <w:sz w:val="20"/>
                      <w:szCs w:val="20"/>
                      <w:u w:val="single"/>
                      <w:lang w:eastAsia="ja-JP"/>
                    </w:rPr>
                    <w:t xml:space="preserve">for cross-carrier scheduling with the same numerology between scheduling cell and scheduled cell(s) but different numerologies between scheduling cell(s), </w:t>
                  </w:r>
                  <w:r w:rsidRPr="00E23C21">
                    <w:rPr>
                      <w:sz w:val="20"/>
                      <w:szCs w:val="20"/>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tc>
            </w:tr>
          </w:tbl>
          <w:p w14:paraId="1ECC1F2B" w14:textId="77777777" w:rsidR="003A7989" w:rsidRPr="00E23C21" w:rsidRDefault="003A7989" w:rsidP="00E329F2"/>
        </w:tc>
      </w:tr>
    </w:tbl>
    <w:p w14:paraId="64074B32" w14:textId="086E0BE5" w:rsidR="008E05A6" w:rsidRDefault="00E23C21" w:rsidP="007D2D82">
      <w:pPr>
        <w:spacing w:before="240"/>
      </w:pPr>
      <w:r>
        <w:t xml:space="preserve">In RAN1-94, PDCCH BD and CCE limits </w:t>
      </w:r>
      <w:r w:rsidR="00CF69F6">
        <w:t xml:space="preserve">were discussed </w:t>
      </w:r>
      <w:r>
        <w:t>for</w:t>
      </w:r>
      <w:r w:rsidR="00F2647D">
        <w:t xml:space="preserve"> cross-carrier scheduling</w:t>
      </w:r>
      <w:r>
        <w:t xml:space="preserve"> CA with d</w:t>
      </w:r>
      <w:r w:rsidR="008F1270">
        <w:t xml:space="preserve">ifferent numerologies </w:t>
      </w:r>
      <w:r>
        <w:t>among scheduling CCs but</w:t>
      </w:r>
      <w:r w:rsidR="003132B6">
        <w:t xml:space="preserve"> with</w:t>
      </w:r>
      <w:r>
        <w:t xml:space="preserve"> the s</w:t>
      </w:r>
      <w:r w:rsidR="008F1270">
        <w:t xml:space="preserve">ame numerology between </w:t>
      </w:r>
      <w:r>
        <w:t xml:space="preserve">the </w:t>
      </w:r>
      <w:r w:rsidR="008F1270">
        <w:t xml:space="preserve">scheduling </w:t>
      </w:r>
      <w:r w:rsidR="003E2278">
        <w:t xml:space="preserve">CC </w:t>
      </w:r>
      <w:r w:rsidR="008F1270">
        <w:t>and</w:t>
      </w:r>
      <w:r w:rsidR="003E2278">
        <w:t xml:space="preserve"> the corresponding</w:t>
      </w:r>
      <w:r w:rsidR="008F1270">
        <w:t xml:space="preserve"> scheduled CCs.</w:t>
      </w:r>
      <w:r>
        <w:t xml:space="preserve"> </w:t>
      </w:r>
      <w:r w:rsidR="007E509B">
        <w:t xml:space="preserve">The agreements are in line with previous meetings’ agreements in the </w:t>
      </w:r>
      <w:r w:rsidR="001F6AB3">
        <w:t>following</w:t>
      </w:r>
      <w:r w:rsidR="007E509B">
        <w:t xml:space="preserve"> </w:t>
      </w:r>
      <w:r w:rsidR="001F6AB3">
        <w:t>aspects</w:t>
      </w:r>
    </w:p>
    <w:p w14:paraId="1657CCCA" w14:textId="32334565" w:rsidR="00F918C8" w:rsidRPr="008A7F5C" w:rsidRDefault="004D5DB7" w:rsidP="008A7F5C">
      <w:pPr>
        <w:pStyle w:val="ListParagraph"/>
        <w:numPr>
          <w:ilvl w:val="0"/>
          <w:numId w:val="19"/>
        </w:numPr>
        <w:rPr>
          <w:sz w:val="20"/>
        </w:rPr>
      </w:pPr>
      <w:r w:rsidRPr="008A7F5C">
        <w:rPr>
          <w:sz w:val="20"/>
        </w:rPr>
        <w:t>When the number of DL-CCs is larger than the BD capability, the limit determined by the BD capability is split among numerologies in proportion to the number of cells with the same numerology</w:t>
      </w:r>
    </w:p>
    <w:p w14:paraId="5B25A7B7" w14:textId="1F3F9EEA" w:rsidR="004D5DB7" w:rsidRPr="008A7F5C" w:rsidRDefault="004D5DB7" w:rsidP="008A7F5C">
      <w:pPr>
        <w:pStyle w:val="ListParagraph"/>
        <w:numPr>
          <w:ilvl w:val="0"/>
          <w:numId w:val="19"/>
        </w:numPr>
        <w:spacing w:after="240"/>
        <w:rPr>
          <w:sz w:val="20"/>
        </w:rPr>
      </w:pPr>
      <w:r w:rsidRPr="008A7F5C">
        <w:rPr>
          <w:sz w:val="20"/>
        </w:rPr>
        <w:t>Overbooking is allowed only for the</w:t>
      </w:r>
      <w:r w:rsidR="00084516">
        <w:rPr>
          <w:sz w:val="20"/>
        </w:rPr>
        <w:t xml:space="preserve"> PCell or PSCell, but not for </w:t>
      </w:r>
      <w:r w:rsidRPr="008A7F5C">
        <w:rPr>
          <w:sz w:val="20"/>
        </w:rPr>
        <w:t>SCells.</w:t>
      </w:r>
    </w:p>
    <w:p w14:paraId="5DA777BB" w14:textId="276285FE" w:rsidR="00E23C21" w:rsidRDefault="005251DF" w:rsidP="008F1270">
      <w:r>
        <w:t>A</w:t>
      </w:r>
      <w:r w:rsidR="00162F28">
        <w:t xml:space="preserve"> </w:t>
      </w:r>
      <w:r w:rsidR="00021BC3">
        <w:t xml:space="preserve">remaining </w:t>
      </w:r>
      <w:r w:rsidR="006165FF">
        <w:t xml:space="preserve">issue is how the total limit </w:t>
      </w:r>
      <w:r w:rsidR="007A0BD4">
        <w:t>is split on a per-cell basis.</w:t>
      </w:r>
      <w:r w:rsidR="002E49E4">
        <w:t xml:space="preserve"> Following the agreements</w:t>
      </w:r>
      <w:r w:rsidR="00144F61">
        <w:t xml:space="preserve"> from RAN1-93 and RAN1-94</w:t>
      </w:r>
      <w:r w:rsidR="002E49E4">
        <w:t xml:space="preserve">, we propose to address this remaining issue </w:t>
      </w:r>
      <w:r w:rsidR="00845054">
        <w:t>by</w:t>
      </w:r>
    </w:p>
    <w:p w14:paraId="28705E95" w14:textId="486EF002" w:rsidR="00D97060" w:rsidRPr="003B47AA" w:rsidRDefault="00D97060" w:rsidP="00D97060">
      <w:pPr>
        <w:numPr>
          <w:ilvl w:val="0"/>
          <w:numId w:val="19"/>
        </w:numPr>
        <w:overflowPunct/>
        <w:autoSpaceDE/>
        <w:autoSpaceDN/>
        <w:adjustRightInd/>
        <w:spacing w:after="0"/>
        <w:textAlignment w:val="auto"/>
      </w:pPr>
      <w:r w:rsidRPr="003B47AA">
        <w:t xml:space="preserve">The total number of BDs/CCEs across </w:t>
      </w:r>
      <w:r w:rsidR="001C1CEA">
        <w:t>serving cells</w:t>
      </w:r>
      <w:r w:rsidRPr="003B47AA">
        <w:t xml:space="preserve"> per numerology can be split across</w:t>
      </w:r>
      <w:r w:rsidR="001C1CEA">
        <w:t xml:space="preserve"> serving</w:t>
      </w:r>
      <w:r w:rsidRPr="003B47AA">
        <w:t xml:space="preserve"> </w:t>
      </w:r>
      <w:r w:rsidR="001C1CEA">
        <w:t>cells</w:t>
      </w:r>
      <w:r w:rsidRPr="003B47AA">
        <w:t xml:space="preserve"> for the given numerology, subject to the non-CA limit on each </w:t>
      </w:r>
      <w:r w:rsidR="001C1CEA">
        <w:t>serving cell</w:t>
      </w:r>
      <w:r w:rsidRPr="003B47AA">
        <w:t>.</w:t>
      </w:r>
    </w:p>
    <w:p w14:paraId="088FAC83" w14:textId="77777777" w:rsidR="00DD1658" w:rsidRDefault="00DD1658" w:rsidP="00DD1658">
      <w:pPr>
        <w:numPr>
          <w:ilvl w:val="0"/>
          <w:numId w:val="19"/>
        </w:numPr>
        <w:overflowPunct/>
        <w:autoSpaceDE/>
        <w:autoSpaceDN/>
        <w:adjustRightInd/>
        <w:spacing w:after="0"/>
        <w:textAlignment w:val="auto"/>
      </w:pPr>
      <w:r w:rsidRPr="00DD1658">
        <w:t xml:space="preserve">For SCell, NW ensures no overbooking based on non-CA case occurs. </w:t>
      </w:r>
    </w:p>
    <w:p w14:paraId="4E060FA7" w14:textId="6C52C868" w:rsidR="002E49E4" w:rsidRPr="00FA5631" w:rsidRDefault="00DD1658" w:rsidP="00FE0A4B">
      <w:pPr>
        <w:numPr>
          <w:ilvl w:val="0"/>
          <w:numId w:val="19"/>
        </w:numPr>
        <w:overflowPunct/>
        <w:autoSpaceDE/>
        <w:autoSpaceDN/>
        <w:adjustRightInd/>
        <w:textAlignment w:val="auto"/>
      </w:pPr>
      <w:r w:rsidRPr="00FA5631">
        <w:t>BDs/CCEs overlapped across DL serving cells are independently counted (i.e., counted per serving cell).</w:t>
      </w:r>
    </w:p>
    <w:p w14:paraId="2AEF1B0F" w14:textId="3B588D42" w:rsidR="00FE0A4B" w:rsidRDefault="00FE0A4B" w:rsidP="00FE0A4B">
      <w:pPr>
        <w:rPr>
          <w:b/>
          <w:lang w:eastAsia="zh-CN"/>
        </w:rPr>
      </w:pPr>
      <w:bookmarkStart w:id="0" w:name="limit"/>
      <w:r w:rsidRPr="00251B60">
        <w:rPr>
          <w:b/>
          <w:lang w:eastAsia="zh-CN"/>
        </w:rPr>
        <w:t xml:space="preserve">Proposal </w:t>
      </w:r>
      <w:r>
        <w:rPr>
          <w:b/>
        </w:rPr>
        <w:fldChar w:fldCharType="begin"/>
      </w:r>
      <w:r>
        <w:rPr>
          <w:b/>
        </w:rPr>
        <w:instrText xml:space="preserve"> seq prop </w:instrText>
      </w:r>
      <w:r>
        <w:rPr>
          <w:b/>
        </w:rPr>
        <w:fldChar w:fldCharType="separate"/>
      </w:r>
      <w:r>
        <w:rPr>
          <w:b/>
          <w:noProof/>
        </w:rPr>
        <w:t>1</w:t>
      </w:r>
      <w:r>
        <w:rPr>
          <w:b/>
        </w:rPr>
        <w:fldChar w:fldCharType="end"/>
      </w:r>
      <w:r w:rsidRPr="00251B60">
        <w:rPr>
          <w:b/>
          <w:lang w:eastAsia="zh-CN"/>
        </w:rPr>
        <w:t xml:space="preserve">: </w:t>
      </w:r>
      <w:r w:rsidR="00FF0597" w:rsidRPr="00FF0597">
        <w:rPr>
          <w:rFonts w:hint="eastAsia"/>
          <w:b/>
          <w:lang w:eastAsia="zh-CN"/>
        </w:rPr>
        <w:t>F</w:t>
      </w:r>
      <w:r w:rsidR="00FF0597" w:rsidRPr="00FF0597">
        <w:rPr>
          <w:b/>
          <w:lang w:eastAsia="zh-CN"/>
        </w:rPr>
        <w:t>or cross-carrier scheduling with the same numerology between scheduling cell and scheduled cell(s) but different numerologies between scheduling cell(s)</w:t>
      </w:r>
    </w:p>
    <w:p w14:paraId="7796C157" w14:textId="77777777" w:rsidR="00FF0597" w:rsidRPr="00FF0597" w:rsidRDefault="00FF0597" w:rsidP="00FF0597">
      <w:pPr>
        <w:numPr>
          <w:ilvl w:val="0"/>
          <w:numId w:val="19"/>
        </w:numPr>
        <w:overflowPunct/>
        <w:autoSpaceDE/>
        <w:autoSpaceDN/>
        <w:adjustRightInd/>
        <w:spacing w:after="0"/>
        <w:textAlignment w:val="auto"/>
        <w:rPr>
          <w:b/>
        </w:rPr>
      </w:pPr>
      <w:r w:rsidRPr="00FF0597">
        <w:rPr>
          <w:b/>
        </w:rPr>
        <w:t>The total number of BDs/CCEs across serving cells per numerology can be split across serving cells for the given numerology, subject to the non-CA limit on each serving cell.</w:t>
      </w:r>
    </w:p>
    <w:p w14:paraId="6D841CD7" w14:textId="77777777" w:rsidR="00FF0597" w:rsidRPr="00FF0597" w:rsidRDefault="00FF0597" w:rsidP="00FF0597">
      <w:pPr>
        <w:numPr>
          <w:ilvl w:val="0"/>
          <w:numId w:val="19"/>
        </w:numPr>
        <w:overflowPunct/>
        <w:autoSpaceDE/>
        <w:autoSpaceDN/>
        <w:adjustRightInd/>
        <w:spacing w:after="0"/>
        <w:textAlignment w:val="auto"/>
        <w:rPr>
          <w:b/>
        </w:rPr>
      </w:pPr>
      <w:r w:rsidRPr="00FF0597">
        <w:rPr>
          <w:b/>
        </w:rPr>
        <w:t xml:space="preserve">For SCell, NW ensures no overbooking based on non-CA case occurs. </w:t>
      </w:r>
    </w:p>
    <w:p w14:paraId="0053563A" w14:textId="77777777" w:rsidR="00FF0597" w:rsidRPr="00FF0597" w:rsidRDefault="00FF0597" w:rsidP="00FF0597">
      <w:pPr>
        <w:numPr>
          <w:ilvl w:val="0"/>
          <w:numId w:val="19"/>
        </w:numPr>
        <w:overflowPunct/>
        <w:autoSpaceDE/>
        <w:autoSpaceDN/>
        <w:adjustRightInd/>
        <w:textAlignment w:val="auto"/>
        <w:rPr>
          <w:b/>
        </w:rPr>
      </w:pPr>
      <w:r w:rsidRPr="00FF0597">
        <w:rPr>
          <w:b/>
        </w:rPr>
        <w:lastRenderedPageBreak/>
        <w:t>BDs/CCEs overlapped across DL serving cells are independently counted (i.e., counted per serving cell).</w:t>
      </w:r>
    </w:p>
    <w:bookmarkEnd w:id="0"/>
    <w:p w14:paraId="2F8CC8DC" w14:textId="0612B9CD" w:rsidR="009447AE" w:rsidRDefault="00F337D6" w:rsidP="00D36ED4">
      <w:pPr>
        <w:pStyle w:val="Heading2"/>
        <w:numPr>
          <w:ilvl w:val="0"/>
          <w:numId w:val="7"/>
        </w:numPr>
      </w:pPr>
      <w:r>
        <w:t xml:space="preserve">Access </w:t>
      </w:r>
      <w:r w:rsidR="00B969AE">
        <w:t xml:space="preserve">to </w:t>
      </w:r>
      <w:r w:rsidR="007063D4">
        <w:t>CORESET #0 in the Active</w:t>
      </w:r>
      <w:r w:rsidR="00E86B64">
        <w:t xml:space="preserve"> BWP</w:t>
      </w:r>
    </w:p>
    <w:p w14:paraId="34B25DF9" w14:textId="3061E1C1" w:rsidR="008B1ECD" w:rsidRPr="0021477B" w:rsidRDefault="00454C6A" w:rsidP="0021477B">
      <w:r w:rsidRPr="0021477B">
        <w:t>During initial access</w:t>
      </w:r>
      <w:r w:rsidR="00DF18CB" w:rsidRPr="0021477B">
        <w:t>,</w:t>
      </w:r>
      <w:r w:rsidRPr="0021477B">
        <w:t xml:space="preserve"> </w:t>
      </w:r>
      <w:r w:rsidR="008F2546" w:rsidRPr="0021477B">
        <w:t>CORESET #0</w:t>
      </w:r>
      <w:r w:rsidR="002179AC" w:rsidRPr="0021477B">
        <w:t xml:space="preserve"> configuration is provided</w:t>
      </w:r>
      <w:r w:rsidR="008F2546" w:rsidRPr="0021477B">
        <w:t xml:space="preserve"> </w:t>
      </w:r>
      <w:r w:rsidR="002179AC" w:rsidRPr="0021477B">
        <w:t>in the</w:t>
      </w:r>
      <w:r w:rsidR="003E5505" w:rsidRPr="0021477B">
        <w:t xml:space="preserve"> MIB for UE to </w:t>
      </w:r>
      <w:r w:rsidR="00102292" w:rsidRPr="0021477B">
        <w:t xml:space="preserve">communicate </w:t>
      </w:r>
      <w:r w:rsidR="002179AC" w:rsidRPr="0021477B">
        <w:t>with</w:t>
      </w:r>
      <w:r w:rsidR="00D334D0" w:rsidRPr="0021477B">
        <w:t xml:space="preserve"> the</w:t>
      </w:r>
      <w:r w:rsidR="002179AC" w:rsidRPr="0021477B">
        <w:t xml:space="preserve"> network</w:t>
      </w:r>
      <w:r w:rsidR="008F2546" w:rsidRPr="0021477B">
        <w:t xml:space="preserve">. </w:t>
      </w:r>
      <w:r w:rsidR="00C64524" w:rsidRPr="0021477B">
        <w:t xml:space="preserve">After initial </w:t>
      </w:r>
      <w:r w:rsidR="009D165E" w:rsidRPr="0021477B">
        <w:t xml:space="preserve">access, network may configure </w:t>
      </w:r>
      <w:r w:rsidR="00802F1F" w:rsidRPr="0021477B">
        <w:t>an</w:t>
      </w:r>
      <w:r w:rsidR="009D165E" w:rsidRPr="0021477B">
        <w:t xml:space="preserve"> active BWP </w:t>
      </w:r>
      <w:r w:rsidR="00D334D0" w:rsidRPr="0021477B">
        <w:t>to the</w:t>
      </w:r>
      <w:r w:rsidR="009D165E" w:rsidRPr="0021477B">
        <w:t xml:space="preserve"> UE </w:t>
      </w:r>
      <w:r w:rsidR="00802F1F" w:rsidRPr="0021477B">
        <w:t>that has a bandwidth different than the</w:t>
      </w:r>
      <w:r w:rsidR="00D334D0" w:rsidRPr="0021477B">
        <w:t xml:space="preserve"> bandwidth of</w:t>
      </w:r>
      <w:r w:rsidR="00802F1F" w:rsidRPr="0021477B">
        <w:t xml:space="preserve"> CORESET #0</w:t>
      </w:r>
      <w:r w:rsidR="009D165E" w:rsidRPr="0021477B">
        <w:t xml:space="preserve">. </w:t>
      </w:r>
      <w:r w:rsidR="00D533C4" w:rsidRPr="0021477B">
        <w:t>In</w:t>
      </w:r>
      <w:r w:rsidR="00765E4F">
        <w:t xml:space="preserve"> </w:t>
      </w:r>
      <w:r w:rsidR="005E3362">
        <w:t xml:space="preserve">version 15.3.0 of </w:t>
      </w:r>
      <w:r w:rsidR="00765E4F">
        <w:t>the</w:t>
      </w:r>
      <w:r w:rsidR="00D533C4" w:rsidRPr="0021477B">
        <w:t xml:space="preserve"> </w:t>
      </w:r>
      <w:r w:rsidR="00584818">
        <w:t xml:space="preserve">TS </w:t>
      </w:r>
      <w:r w:rsidR="00D533C4" w:rsidRPr="0021477B">
        <w:t xml:space="preserve">38.331, description of the </w:t>
      </w:r>
      <w:r w:rsidR="00D533C4" w:rsidRPr="0021477B">
        <w:rPr>
          <w:i/>
        </w:rPr>
        <w:t>controlResourceSetZero</w:t>
      </w:r>
      <w:r w:rsidR="00D533C4" w:rsidRPr="0021477B">
        <w:t xml:space="preserve"> field in dedicated RRC </w:t>
      </w:r>
      <w:r w:rsidR="00D360EE" w:rsidRPr="0021477B">
        <w:t>signaling</w:t>
      </w:r>
      <w:r w:rsidR="00D533C4" w:rsidRPr="0021477B">
        <w:t xml:space="preserve"> </w:t>
      </w:r>
      <w:r w:rsidR="00D533C4" w:rsidRPr="0021477B">
        <w:rPr>
          <w:i/>
        </w:rPr>
        <w:t>PDCCH-ConfigCommon</w:t>
      </w:r>
      <w:r w:rsidR="00D533C4" w:rsidRPr="0021477B">
        <w:t xml:space="preserve"> refers to conditions in 38.213 for the UE to use CORESET #0 in a DL BWP other than the initial DL BWP.</w:t>
      </w:r>
      <w:r w:rsidR="0021477B">
        <w:t xml:space="preserve"> However, current 38.213 </w:t>
      </w:r>
      <w:r w:rsidR="0056137E">
        <w:t>ha</w:t>
      </w:r>
      <w:r w:rsidR="0021477B">
        <w:t>s not define</w:t>
      </w:r>
      <w:r w:rsidR="0056137E">
        <w:t>d</w:t>
      </w:r>
      <w:r w:rsidR="0021477B">
        <w:t xml:space="preserve"> such condition</w:t>
      </w:r>
      <w:r w:rsidR="00EB1119">
        <w:t>s</w:t>
      </w:r>
      <w:r w:rsidR="0021477B">
        <w:t xml:space="preserve"> yet.</w:t>
      </w:r>
    </w:p>
    <w:tbl>
      <w:tblPr>
        <w:tblStyle w:val="TableGrid"/>
        <w:tblW w:w="0" w:type="auto"/>
        <w:tblLook w:val="04A0" w:firstRow="1" w:lastRow="0" w:firstColumn="1" w:lastColumn="0" w:noHBand="0" w:noVBand="1"/>
      </w:tblPr>
      <w:tblGrid>
        <w:gridCol w:w="9629"/>
      </w:tblGrid>
      <w:tr w:rsidR="00D533C4" w14:paraId="59CAAF1A" w14:textId="77777777" w:rsidTr="00D533C4">
        <w:tc>
          <w:tcPr>
            <w:tcW w:w="9629" w:type="dxa"/>
          </w:tcPr>
          <w:p w14:paraId="560C16F2" w14:textId="77777777" w:rsidR="00D533C4" w:rsidRPr="00460FB8" w:rsidRDefault="00D533C4" w:rsidP="00460FB8">
            <w:pPr>
              <w:rPr>
                <w:b/>
                <w:i/>
              </w:rPr>
            </w:pPr>
            <w:r w:rsidRPr="00460FB8">
              <w:rPr>
                <w:b/>
                <w:i/>
              </w:rPr>
              <w:t xml:space="preserve">controlResourceSetZero </w:t>
            </w:r>
          </w:p>
          <w:p w14:paraId="54DA67BD" w14:textId="028CEB8E" w:rsidR="00D533C4" w:rsidRPr="00460FB8" w:rsidRDefault="00D533C4" w:rsidP="00460FB8">
            <w:r w:rsidRPr="00460FB8">
              <w:t xml:space="preserve">Parameters of the common CORESET#0. The values are interpreted like the corresponding bits in MIB pdcch-ConfigSIB1. Even though this field is only configured in the initial BWP (BWP#0) controlResourceSetZero can be used in search spaces configured in other DL BWP(s) than the initial DL BWP if the conditions defined in 38.213, section 10 are satisfied. </w:t>
            </w:r>
          </w:p>
        </w:tc>
      </w:tr>
    </w:tbl>
    <w:p w14:paraId="644CE767" w14:textId="3439E49E" w:rsidR="00B476C5" w:rsidRDefault="009D165E" w:rsidP="00E4665C">
      <w:pPr>
        <w:spacing w:before="240"/>
        <w:rPr>
          <w:lang w:val="en-GB"/>
        </w:rPr>
      </w:pPr>
      <w:r>
        <w:rPr>
          <w:lang w:val="en-GB"/>
        </w:rPr>
        <w:t xml:space="preserve">If the active BWP </w:t>
      </w:r>
      <w:r w:rsidR="003E35C3">
        <w:rPr>
          <w:lang w:val="en-GB"/>
        </w:rPr>
        <w:t>overlaps with</w:t>
      </w:r>
      <w:r>
        <w:rPr>
          <w:lang w:val="en-GB"/>
        </w:rPr>
        <w:t xml:space="preserve"> the bandwidth of CORESET #0 and if </w:t>
      </w:r>
      <w:r w:rsidR="00FE4F95">
        <w:rPr>
          <w:lang w:val="en-GB"/>
        </w:rPr>
        <w:t xml:space="preserve">subcarrier spacing of the active BWP is same as the subcarrier </w:t>
      </w:r>
      <w:r w:rsidR="00CB228B">
        <w:rPr>
          <w:lang w:val="en-GB"/>
        </w:rPr>
        <w:t>spacing</w:t>
      </w:r>
      <w:r w:rsidR="00FE4F95">
        <w:rPr>
          <w:lang w:val="en-GB"/>
        </w:rPr>
        <w:t xml:space="preserve"> </w:t>
      </w:r>
      <w:r w:rsidR="00B566CE">
        <w:rPr>
          <w:lang w:val="en-GB"/>
        </w:rPr>
        <w:t>used by</w:t>
      </w:r>
      <w:r w:rsidR="00FE4F95">
        <w:rPr>
          <w:lang w:val="en-GB"/>
        </w:rPr>
        <w:t xml:space="preserve"> CORESET #0, the UE </w:t>
      </w:r>
      <w:r w:rsidR="004C7743">
        <w:rPr>
          <w:lang w:val="en-GB"/>
        </w:rPr>
        <w:t xml:space="preserve">can </w:t>
      </w:r>
      <w:r w:rsidR="00665788">
        <w:rPr>
          <w:lang w:val="en-GB"/>
        </w:rPr>
        <w:t>use</w:t>
      </w:r>
      <w:r w:rsidR="004C7743">
        <w:rPr>
          <w:lang w:val="en-GB"/>
        </w:rPr>
        <w:t xml:space="preserve"> CORESET #0</w:t>
      </w:r>
      <w:r w:rsidR="001A2ECD">
        <w:rPr>
          <w:lang w:val="en-GB"/>
        </w:rPr>
        <w:t xml:space="preserve"> for PDCCH monitoring</w:t>
      </w:r>
      <w:r w:rsidR="00FE4F95">
        <w:rPr>
          <w:lang w:val="en-GB"/>
        </w:rPr>
        <w:t xml:space="preserve">. Otherwise, the UE cannot </w:t>
      </w:r>
      <w:r w:rsidR="00665788">
        <w:rPr>
          <w:lang w:val="en-GB"/>
        </w:rPr>
        <w:t>use</w:t>
      </w:r>
      <w:r w:rsidR="00FE4F95">
        <w:rPr>
          <w:lang w:val="en-GB"/>
        </w:rPr>
        <w:t xml:space="preserve"> CORESET #0</w:t>
      </w:r>
      <w:r w:rsidR="003C4DFD">
        <w:rPr>
          <w:lang w:val="en-GB"/>
        </w:rPr>
        <w:t xml:space="preserve"> for PDCCH monitoring</w:t>
      </w:r>
      <w:r w:rsidR="00FE4F95">
        <w:rPr>
          <w:lang w:val="en-GB"/>
        </w:rPr>
        <w:t>. Accordingly,</w:t>
      </w:r>
      <w:r w:rsidR="009E5E46">
        <w:rPr>
          <w:lang w:val="en-GB"/>
        </w:rPr>
        <w:t xml:space="preserve"> we have the following text proposal.</w:t>
      </w:r>
    </w:p>
    <w:tbl>
      <w:tblPr>
        <w:tblStyle w:val="TableGrid"/>
        <w:tblW w:w="0" w:type="auto"/>
        <w:tblLook w:val="04A0" w:firstRow="1" w:lastRow="0" w:firstColumn="1" w:lastColumn="0" w:noHBand="0" w:noVBand="1"/>
      </w:tblPr>
      <w:tblGrid>
        <w:gridCol w:w="9629"/>
      </w:tblGrid>
      <w:tr w:rsidR="009E5E46" w14:paraId="4FFE0383" w14:textId="77777777" w:rsidTr="009E5E46">
        <w:tc>
          <w:tcPr>
            <w:tcW w:w="9629" w:type="dxa"/>
          </w:tcPr>
          <w:p w14:paraId="6791D182" w14:textId="4318DD7F" w:rsidR="009E5E46" w:rsidRPr="006C36B7" w:rsidRDefault="009E5E46" w:rsidP="009E5E46">
            <w:pPr>
              <w:rPr>
                <w:b/>
                <w:u w:val="single"/>
              </w:rPr>
            </w:pPr>
            <w:r w:rsidRPr="006C36B7">
              <w:rPr>
                <w:b/>
                <w:u w:val="single"/>
              </w:rPr>
              <w:t xml:space="preserve">In </w:t>
            </w:r>
            <w:r>
              <w:rPr>
                <w:b/>
                <w:u w:val="single"/>
              </w:rPr>
              <w:t xml:space="preserve">Section </w:t>
            </w:r>
            <w:r w:rsidR="00F73D28">
              <w:rPr>
                <w:b/>
                <w:u w:val="single"/>
              </w:rPr>
              <w:t>10</w:t>
            </w:r>
            <w:r w:rsidR="00037199">
              <w:rPr>
                <w:b/>
                <w:u w:val="single"/>
              </w:rPr>
              <w:t>.1</w:t>
            </w:r>
            <w:r w:rsidR="00F73D28">
              <w:rPr>
                <w:b/>
                <w:u w:val="single"/>
              </w:rPr>
              <w:t xml:space="preserve"> of TS 38.213</w:t>
            </w:r>
          </w:p>
          <w:p w14:paraId="79410F89" w14:textId="15F1AE1E" w:rsidR="009E5E46" w:rsidRDefault="00462687" w:rsidP="00462687">
            <w:pPr>
              <w:rPr>
                <w:lang w:val="en-GB"/>
              </w:rPr>
            </w:pPr>
            <w:r w:rsidRPr="00B201B9">
              <w:rPr>
                <w:color w:val="FF0000"/>
                <w:lang w:eastAsia="zh-CN"/>
              </w:rPr>
              <w:t xml:space="preserve">A UE can use CORESET #0 in an active </w:t>
            </w:r>
            <w:r w:rsidR="00FB1C55">
              <w:rPr>
                <w:color w:val="FF0000"/>
                <w:lang w:eastAsia="zh-CN"/>
              </w:rPr>
              <w:t>DL</w:t>
            </w:r>
            <w:r w:rsidRPr="00B201B9">
              <w:rPr>
                <w:color w:val="FF0000"/>
                <w:lang w:eastAsia="zh-CN"/>
              </w:rPr>
              <w:t xml:space="preserve"> BWP for PDCCH monitoring only if CORESET #0 </w:t>
            </w:r>
            <w:r w:rsidR="00FB1C55">
              <w:rPr>
                <w:color w:val="FF0000"/>
                <w:lang w:eastAsia="zh-CN"/>
              </w:rPr>
              <w:t xml:space="preserve">is fully contained within the active DL BWP in frequency </w:t>
            </w:r>
            <w:r w:rsidRPr="00B201B9">
              <w:rPr>
                <w:color w:val="FF0000"/>
                <w:lang w:eastAsia="zh-CN"/>
              </w:rPr>
              <w:t xml:space="preserve">and subcarrier spacing of the active </w:t>
            </w:r>
            <w:r w:rsidR="00FB1C55">
              <w:rPr>
                <w:color w:val="FF0000"/>
                <w:lang w:eastAsia="zh-CN"/>
              </w:rPr>
              <w:t xml:space="preserve">DL </w:t>
            </w:r>
            <w:r w:rsidRPr="00B201B9">
              <w:rPr>
                <w:color w:val="FF0000"/>
                <w:lang w:eastAsia="zh-CN"/>
              </w:rPr>
              <w:t xml:space="preserve">BWP is same as the subcarrier spacing </w:t>
            </w:r>
            <w:r w:rsidR="00FB1C55">
              <w:rPr>
                <w:color w:val="FF0000"/>
                <w:lang w:eastAsia="zh-CN"/>
              </w:rPr>
              <w:t>of</w:t>
            </w:r>
            <w:r w:rsidRPr="00B201B9">
              <w:rPr>
                <w:color w:val="FF0000"/>
                <w:lang w:eastAsia="zh-CN"/>
              </w:rPr>
              <w:t xml:space="preserve"> CORESET #0.</w:t>
            </w:r>
          </w:p>
        </w:tc>
      </w:tr>
    </w:tbl>
    <w:p w14:paraId="1580DCC1" w14:textId="28058A7F" w:rsidR="00FE4F95" w:rsidRPr="004C7743" w:rsidRDefault="00FE4F95" w:rsidP="00B476C5">
      <w:pPr>
        <w:rPr>
          <w:b/>
          <w:lang w:eastAsia="zh-CN"/>
        </w:rPr>
      </w:pPr>
      <w:bookmarkStart w:id="1" w:name="coreset0"/>
      <w:r w:rsidRPr="00251B60">
        <w:rPr>
          <w:b/>
          <w:lang w:eastAsia="zh-CN"/>
        </w:rPr>
        <w:t xml:space="preserve">Proposal </w:t>
      </w:r>
      <w:r>
        <w:rPr>
          <w:b/>
        </w:rPr>
        <w:fldChar w:fldCharType="begin"/>
      </w:r>
      <w:r>
        <w:rPr>
          <w:b/>
        </w:rPr>
        <w:instrText xml:space="preserve"> seq prop </w:instrText>
      </w:r>
      <w:r>
        <w:rPr>
          <w:b/>
        </w:rPr>
        <w:fldChar w:fldCharType="separate"/>
      </w:r>
      <w:r w:rsidR="00830D0A">
        <w:rPr>
          <w:b/>
          <w:noProof/>
        </w:rPr>
        <w:t>2</w:t>
      </w:r>
      <w:r>
        <w:rPr>
          <w:b/>
        </w:rPr>
        <w:fldChar w:fldCharType="end"/>
      </w:r>
      <w:r w:rsidRPr="00251B60">
        <w:rPr>
          <w:b/>
          <w:lang w:eastAsia="zh-CN"/>
        </w:rPr>
        <w:t>:</w:t>
      </w:r>
      <w:r w:rsidR="00502C62">
        <w:rPr>
          <w:b/>
          <w:lang w:eastAsia="zh-CN"/>
        </w:rPr>
        <w:t xml:space="preserve"> </w:t>
      </w:r>
      <w:r w:rsidR="008432A8">
        <w:rPr>
          <w:b/>
          <w:lang w:eastAsia="zh-CN"/>
        </w:rPr>
        <w:t xml:space="preserve">Adopt the TP to </w:t>
      </w:r>
      <w:r w:rsidR="00C10463">
        <w:rPr>
          <w:b/>
          <w:lang w:eastAsia="zh-CN"/>
        </w:rPr>
        <w:t xml:space="preserve">clarify that </w:t>
      </w:r>
      <w:r w:rsidR="00FB1C55" w:rsidRPr="00FB1C55">
        <w:rPr>
          <w:b/>
          <w:lang w:eastAsia="zh-CN"/>
        </w:rPr>
        <w:t>A UE can use CORESET #0 in an active DL BWP for PDCCH monitoring only if CORESET #0 is fully contained within the active DL BWP in frequency and subcarrier spacing of the active DL BWP is same as the subcarrier spacing of CORESET #0</w:t>
      </w:r>
      <w:r w:rsidR="004C7743">
        <w:rPr>
          <w:b/>
          <w:lang w:eastAsia="zh-CN"/>
        </w:rPr>
        <w:t>.</w:t>
      </w:r>
    </w:p>
    <w:bookmarkEnd w:id="1"/>
    <w:p w14:paraId="1CA26DA4" w14:textId="2DD0EF68" w:rsidR="007919EA" w:rsidRDefault="007919EA" w:rsidP="007919EA">
      <w:pPr>
        <w:pStyle w:val="Heading1"/>
        <w:numPr>
          <w:ilvl w:val="0"/>
          <w:numId w:val="4"/>
        </w:numPr>
      </w:pPr>
      <w:r>
        <w:t>Maintenance for DCI Format and Content</w:t>
      </w:r>
    </w:p>
    <w:p w14:paraId="0B939573" w14:textId="353DE69E" w:rsidR="00F9025B" w:rsidRDefault="007562AF" w:rsidP="00D36ED4">
      <w:pPr>
        <w:pStyle w:val="Heading2"/>
        <w:numPr>
          <w:ilvl w:val="0"/>
          <w:numId w:val="8"/>
        </w:numPr>
      </w:pPr>
      <w:r>
        <w:t>Fallback and Non-Fallback DCIs with Same Size</w:t>
      </w:r>
    </w:p>
    <w:tbl>
      <w:tblPr>
        <w:tblStyle w:val="TableGrid"/>
        <w:tblW w:w="0" w:type="auto"/>
        <w:tblLook w:val="04A0" w:firstRow="1" w:lastRow="0" w:firstColumn="1" w:lastColumn="0" w:noHBand="0" w:noVBand="1"/>
      </w:tblPr>
      <w:tblGrid>
        <w:gridCol w:w="9629"/>
      </w:tblGrid>
      <w:tr w:rsidR="00C712D3" w14:paraId="169B8A12" w14:textId="77777777" w:rsidTr="00C712D3">
        <w:tc>
          <w:tcPr>
            <w:tcW w:w="9629" w:type="dxa"/>
          </w:tcPr>
          <w:p w14:paraId="680C926D" w14:textId="77777777" w:rsidR="00C712D3" w:rsidRDefault="00C712D3" w:rsidP="00C712D3">
            <w:pPr>
              <w:rPr>
                <w:lang w:eastAsia="x-none"/>
              </w:rPr>
            </w:pPr>
            <w:r w:rsidRPr="00EA6686">
              <w:rPr>
                <w:highlight w:val="green"/>
                <w:lang w:eastAsia="x-none"/>
              </w:rPr>
              <w:t>Agreements</w:t>
            </w:r>
            <w:r>
              <w:rPr>
                <w:lang w:eastAsia="x-none"/>
              </w:rPr>
              <w:t>:</w:t>
            </w:r>
          </w:p>
          <w:p w14:paraId="455A6126" w14:textId="77777777" w:rsidR="00C712D3" w:rsidRDefault="00C712D3" w:rsidP="00C712D3">
            <w:pPr>
              <w:pStyle w:val="BodyText"/>
              <w:numPr>
                <w:ilvl w:val="0"/>
                <w:numId w:val="15"/>
              </w:numPr>
              <w:overflowPunct/>
              <w:autoSpaceDE/>
              <w:autoSpaceDN/>
              <w:adjustRightInd/>
              <w:textAlignment w:val="auto"/>
            </w:pPr>
            <w:r>
              <w:t>If DCI format 0-1 (format 1-1) have the same size as 0-0/1-0, add one bit of padding to DCI format 0-1 (format 1-1) to ensure different DCI sizes. The corresponding TP to 38.212 is as below:</w:t>
            </w:r>
          </w:p>
          <w:p w14:paraId="374DCAD1" w14:textId="77777777" w:rsidR="00C712D3" w:rsidRDefault="00C712D3" w:rsidP="00C712D3">
            <w:pPr>
              <w:pStyle w:val="BodyText"/>
              <w:numPr>
                <w:ilvl w:val="0"/>
                <w:numId w:val="14"/>
              </w:numPr>
              <w:overflowPunct/>
              <w:autoSpaceDE/>
              <w:autoSpaceDN/>
              <w:adjustRightInd/>
              <w:textAlignment w:val="auto"/>
            </w:pPr>
            <w:r w:rsidRPr="00EA6686">
              <w:t>Note:</w:t>
            </w:r>
            <w:r>
              <w:t xml:space="preserve"> DCI size budget is counted after adding the padding bit.</w:t>
            </w:r>
          </w:p>
          <w:p w14:paraId="3E6A8FDD" w14:textId="77777777" w:rsidR="00C712D3" w:rsidRPr="00EA6686" w:rsidRDefault="00C712D3" w:rsidP="00C712D3">
            <w:r w:rsidRPr="00EA6686">
              <w:t>7.3.1.1.2</w:t>
            </w:r>
            <w:r w:rsidRPr="00EA6686">
              <w:tab/>
              <w:t>Format 0_1</w:t>
            </w:r>
          </w:p>
          <w:p w14:paraId="191DE642" w14:textId="77777777" w:rsidR="00C712D3" w:rsidRPr="000A5500" w:rsidRDefault="00C712D3" w:rsidP="00C712D3">
            <w:pPr>
              <w:pStyle w:val="BodyText"/>
            </w:pPr>
            <w:r w:rsidRPr="000A5500">
              <w:t>[…text omitted…]</w:t>
            </w:r>
          </w:p>
          <w:p w14:paraId="2B1724B4" w14:textId="77777777" w:rsidR="00C712D3" w:rsidRPr="00375B0E" w:rsidRDefault="00C712D3" w:rsidP="00C712D3">
            <w:pPr>
              <w:pStyle w:val="BodyText"/>
            </w:pPr>
            <w:r w:rsidRPr="00375B0E">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31E7E61B" w14:textId="77777777" w:rsidR="00C712D3" w:rsidRPr="00EA6686" w:rsidRDefault="00C712D3" w:rsidP="00C712D3">
            <w:pPr>
              <w:pStyle w:val="BodyText"/>
              <w:rPr>
                <w:color w:val="FF0000"/>
                <w:u w:val="single"/>
              </w:rPr>
            </w:pPr>
            <w:r w:rsidRPr="00EA6686">
              <w:rPr>
                <w:color w:val="FF0000"/>
                <w:u w:val="single"/>
              </w:rPr>
              <w:t xml:space="preserve">If the payload size of DCI format 0_1 equals that of DCI formats 0_0/1_0 in a UE-specific search space, a zero shall be appended to DCI format 0_1. </w:t>
            </w:r>
          </w:p>
          <w:p w14:paraId="2873760C" w14:textId="77777777" w:rsidR="00C712D3" w:rsidRPr="00AE2226" w:rsidRDefault="00C712D3" w:rsidP="00C712D3">
            <w:pPr>
              <w:pStyle w:val="BodyText"/>
            </w:pPr>
            <w:r w:rsidRPr="000A5500">
              <w:t>[…text omitted…]</w:t>
            </w:r>
          </w:p>
          <w:p w14:paraId="708474D6" w14:textId="77777777" w:rsidR="00C712D3" w:rsidRPr="00EA6686" w:rsidRDefault="00C712D3" w:rsidP="00C712D3">
            <w:r w:rsidRPr="00EA6686">
              <w:lastRenderedPageBreak/>
              <w:t>7.3.1.2.2</w:t>
            </w:r>
            <w:r w:rsidRPr="00EA6686">
              <w:tab/>
              <w:t>Format 1_1</w:t>
            </w:r>
          </w:p>
          <w:p w14:paraId="248324B7" w14:textId="77777777" w:rsidR="00C712D3" w:rsidRPr="007D4DD3" w:rsidRDefault="00C712D3" w:rsidP="00C712D3">
            <w:pPr>
              <w:pStyle w:val="BodyText"/>
              <w:rPr>
                <w:rFonts w:cs="Arial"/>
              </w:rPr>
            </w:pPr>
            <w:r w:rsidRPr="007D4DD3">
              <w:rPr>
                <w:rFonts w:cs="Arial"/>
              </w:rPr>
              <w:t>[…text omitted…]</w:t>
            </w:r>
          </w:p>
          <w:p w14:paraId="56243468" w14:textId="77777777" w:rsidR="00C712D3" w:rsidRPr="007D4DD3" w:rsidRDefault="00C712D3" w:rsidP="00C712D3">
            <w:pPr>
              <w:pStyle w:val="BodyText"/>
              <w:rPr>
                <w:rFonts w:cs="Arial"/>
              </w:rPr>
            </w:pPr>
            <w:r w:rsidRPr="007D4DD3">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14:paraId="2F4C2105" w14:textId="52E33F5D" w:rsidR="00C712D3" w:rsidRDefault="00C712D3" w:rsidP="00C712D3">
            <w:pPr>
              <w:rPr>
                <w:lang w:val="en-GB"/>
              </w:rPr>
            </w:pPr>
            <w:r w:rsidRPr="00EA6686">
              <w:rPr>
                <w:color w:val="FF0000"/>
                <w:u w:val="single"/>
              </w:rPr>
              <w:t>If the payload size of DCI format 1_1 equals that of DCI formats 0_0/1_0 in a UE-specific search space, a zero shall be appended to DCI format 1_1.</w:t>
            </w:r>
          </w:p>
        </w:tc>
      </w:tr>
    </w:tbl>
    <w:p w14:paraId="1E67C08A" w14:textId="0234AE46" w:rsidR="00965EBF" w:rsidRDefault="00BD3CC5" w:rsidP="007D2D82">
      <w:pPr>
        <w:spacing w:before="240"/>
        <w:rPr>
          <w:lang w:val="en-GB"/>
        </w:rPr>
      </w:pPr>
      <w:r>
        <w:rPr>
          <w:lang w:val="en-GB"/>
        </w:rPr>
        <w:lastRenderedPageBreak/>
        <w:t xml:space="preserve">It was agreed in RAN1-94b that when a </w:t>
      </w:r>
      <w:r w:rsidR="00847483">
        <w:rPr>
          <w:lang w:val="en-GB"/>
        </w:rPr>
        <w:t>non-fallback DCI has the same size as fallback DCIs</w:t>
      </w:r>
      <w:r w:rsidR="000451C3">
        <w:rPr>
          <w:lang w:val="en-GB"/>
        </w:rPr>
        <w:t xml:space="preserve"> in USS</w:t>
      </w:r>
      <w:r w:rsidR="00847483">
        <w:rPr>
          <w:lang w:val="en-GB"/>
        </w:rPr>
        <w:t xml:space="preserve">, one bit of padding zero is added to the non-fallback DCI. </w:t>
      </w:r>
      <w:r w:rsidR="000066A2">
        <w:rPr>
          <w:lang w:val="en-GB"/>
        </w:rPr>
        <w:t>The agreement implies that</w:t>
      </w:r>
    </w:p>
    <w:p w14:paraId="79D17AE3" w14:textId="2E58630F" w:rsidR="00531147" w:rsidRPr="00081AEF" w:rsidRDefault="00BF3D74" w:rsidP="00531147">
      <w:pPr>
        <w:pStyle w:val="ListParagraph"/>
        <w:numPr>
          <w:ilvl w:val="0"/>
          <w:numId w:val="14"/>
        </w:numPr>
        <w:rPr>
          <w:lang w:val="en-GB"/>
        </w:rPr>
      </w:pPr>
      <w:r>
        <w:rPr>
          <w:sz w:val="20"/>
          <w:lang w:val="en-GB"/>
        </w:rPr>
        <w:t xml:space="preserve">The fallback DCI is in </w:t>
      </w:r>
      <w:r w:rsidR="00C71478">
        <w:rPr>
          <w:sz w:val="20"/>
          <w:lang w:val="en-GB"/>
        </w:rPr>
        <w:t>one</w:t>
      </w:r>
      <w:r>
        <w:rPr>
          <w:sz w:val="20"/>
          <w:lang w:val="en-GB"/>
        </w:rPr>
        <w:t xml:space="preserve"> USS and the non-fallback DCI is in another USS</w:t>
      </w:r>
      <w:r w:rsidR="00C71478">
        <w:rPr>
          <w:sz w:val="20"/>
          <w:lang w:val="en-GB"/>
        </w:rPr>
        <w:t xml:space="preserve"> because only fallback or non-fallback DCI can be configured in a USS</w:t>
      </w:r>
      <w:r>
        <w:rPr>
          <w:sz w:val="20"/>
          <w:lang w:val="en-GB"/>
        </w:rPr>
        <w:t xml:space="preserve">. The two USSs </w:t>
      </w:r>
      <w:r w:rsidR="00081AEF">
        <w:rPr>
          <w:sz w:val="20"/>
          <w:lang w:val="en-GB"/>
        </w:rPr>
        <w:t>are</w:t>
      </w:r>
      <w:r w:rsidR="00E85CF0">
        <w:rPr>
          <w:sz w:val="20"/>
          <w:lang w:val="en-GB"/>
        </w:rPr>
        <w:t xml:space="preserve"> in the same COERSET or in different CORESETs</w:t>
      </w:r>
      <w:r w:rsidR="00752715">
        <w:rPr>
          <w:sz w:val="20"/>
          <w:lang w:val="en-GB"/>
        </w:rPr>
        <w:t xml:space="preserve">. Scrambling ID </w:t>
      </w:r>
      <w:r w:rsidR="00081AEF">
        <w:rPr>
          <w:sz w:val="20"/>
          <w:lang w:val="en-GB"/>
        </w:rPr>
        <w:t>are the</w:t>
      </w:r>
      <w:r w:rsidR="00752715">
        <w:rPr>
          <w:sz w:val="20"/>
          <w:lang w:val="en-GB"/>
        </w:rPr>
        <w:t xml:space="preserve"> same or different if the two USSs are in two CORESETs.</w:t>
      </w:r>
      <w:r w:rsidR="00081AEF">
        <w:rPr>
          <w:sz w:val="20"/>
          <w:lang w:val="en-GB"/>
        </w:rPr>
        <w:t xml:space="preserve"> ALs of one USS are the same as or partially/totally different than ALs of the other USS.</w:t>
      </w:r>
    </w:p>
    <w:p w14:paraId="22B27D62" w14:textId="6BFE9585" w:rsidR="00081AEF" w:rsidRPr="00E85CF0" w:rsidRDefault="00081AEF" w:rsidP="00531147">
      <w:pPr>
        <w:pStyle w:val="ListParagraph"/>
        <w:numPr>
          <w:ilvl w:val="0"/>
          <w:numId w:val="14"/>
        </w:numPr>
        <w:rPr>
          <w:lang w:val="en-GB"/>
        </w:rPr>
      </w:pPr>
      <w:r>
        <w:rPr>
          <w:sz w:val="20"/>
          <w:lang w:val="en-GB"/>
        </w:rPr>
        <w:t>The case that fallback DCIs in a CSS has the same size as a non-fallback DCI in a USS is not considered.</w:t>
      </w:r>
    </w:p>
    <w:p w14:paraId="2EC4A7E4" w14:textId="0EED41ED" w:rsidR="00E85CF0" w:rsidRPr="00C71C74" w:rsidRDefault="0031415D" w:rsidP="00531147">
      <w:pPr>
        <w:pStyle w:val="ListParagraph"/>
        <w:numPr>
          <w:ilvl w:val="0"/>
          <w:numId w:val="14"/>
        </w:numPr>
        <w:rPr>
          <w:lang w:val="en-GB"/>
        </w:rPr>
      </w:pPr>
      <w:r>
        <w:rPr>
          <w:sz w:val="20"/>
          <w:lang w:val="en-GB"/>
        </w:rPr>
        <w:t>T</w:t>
      </w:r>
      <w:r w:rsidR="0026057C">
        <w:rPr>
          <w:sz w:val="20"/>
          <w:lang w:val="en-GB"/>
        </w:rPr>
        <w:t>he agreement</w:t>
      </w:r>
      <w:r>
        <w:rPr>
          <w:sz w:val="20"/>
          <w:lang w:val="en-GB"/>
        </w:rPr>
        <w:t xml:space="preserve"> applies</w:t>
      </w:r>
      <w:r w:rsidR="0026057C">
        <w:rPr>
          <w:sz w:val="20"/>
          <w:lang w:val="en-GB"/>
        </w:rPr>
        <w:t xml:space="preserve"> </w:t>
      </w:r>
      <w:r>
        <w:rPr>
          <w:sz w:val="20"/>
          <w:lang w:val="en-GB"/>
        </w:rPr>
        <w:t>no matter</w:t>
      </w:r>
      <w:r w:rsidR="0026057C">
        <w:rPr>
          <w:sz w:val="20"/>
          <w:lang w:val="en-GB"/>
        </w:rPr>
        <w:t xml:space="preserve"> </w:t>
      </w:r>
      <w:r w:rsidR="00B96770">
        <w:rPr>
          <w:sz w:val="20"/>
          <w:lang w:val="en-GB"/>
        </w:rPr>
        <w:t xml:space="preserve">whether a PDCCH candidate </w:t>
      </w:r>
      <w:r w:rsidR="004F24E8">
        <w:rPr>
          <w:sz w:val="20"/>
          <w:lang w:val="en-GB"/>
        </w:rPr>
        <w:t>for</w:t>
      </w:r>
      <w:r w:rsidR="00B96770">
        <w:rPr>
          <w:sz w:val="20"/>
          <w:lang w:val="en-GB"/>
        </w:rPr>
        <w:t xml:space="preserve"> the non-fallback DCI </w:t>
      </w:r>
      <w:r w:rsidR="004F24E8">
        <w:rPr>
          <w:sz w:val="20"/>
          <w:lang w:val="en-GB"/>
        </w:rPr>
        <w:t>collides with a PDCCH candidate for the fallback DCI</w:t>
      </w:r>
      <w:r w:rsidR="00081AEF">
        <w:rPr>
          <w:sz w:val="20"/>
          <w:lang w:val="en-GB"/>
        </w:rPr>
        <w:t>.</w:t>
      </w:r>
    </w:p>
    <w:p w14:paraId="514A8120" w14:textId="77777777" w:rsidR="003901C0" w:rsidRDefault="00C71C74" w:rsidP="00C71C74">
      <w:pPr>
        <w:rPr>
          <w:lang w:val="en-GB"/>
        </w:rPr>
      </w:pPr>
      <w:r>
        <w:rPr>
          <w:lang w:val="en-GB"/>
        </w:rPr>
        <w:t xml:space="preserve">After the meeting, a few companies </w:t>
      </w:r>
      <w:r w:rsidR="0031415D">
        <w:rPr>
          <w:lang w:val="en-GB"/>
        </w:rPr>
        <w:t xml:space="preserve">thought </w:t>
      </w:r>
      <w:r w:rsidR="00B6559A">
        <w:rPr>
          <w:lang w:val="en-GB"/>
        </w:rPr>
        <w:t xml:space="preserve">that </w:t>
      </w:r>
      <w:r w:rsidR="0031415D">
        <w:rPr>
          <w:lang w:val="en-GB"/>
        </w:rPr>
        <w:t xml:space="preserve">the </w:t>
      </w:r>
      <w:r>
        <w:rPr>
          <w:lang w:val="en-GB"/>
        </w:rPr>
        <w:t>above aspects of the agreement need to be further discussed in RAN1-95.</w:t>
      </w:r>
      <w:r w:rsidR="0031415D">
        <w:rPr>
          <w:lang w:val="en-GB"/>
        </w:rPr>
        <w:t xml:space="preserve"> </w:t>
      </w:r>
    </w:p>
    <w:p w14:paraId="7897062B" w14:textId="4C146356" w:rsidR="00C71C74" w:rsidRDefault="00D55C70" w:rsidP="00C71C74">
      <w:pPr>
        <w:rPr>
          <w:lang w:val="en-GB"/>
        </w:rPr>
      </w:pPr>
      <w:r>
        <w:rPr>
          <w:lang w:val="en-GB"/>
        </w:rPr>
        <w:t>Note that c</w:t>
      </w:r>
      <w:r w:rsidR="00174495">
        <w:rPr>
          <w:lang w:val="en-GB"/>
        </w:rPr>
        <w:t xml:space="preserve">omplexity </w:t>
      </w:r>
      <w:r w:rsidR="0059284B">
        <w:rPr>
          <w:lang w:val="en-GB"/>
        </w:rPr>
        <w:t>for checking</w:t>
      </w:r>
      <w:r w:rsidR="00174495">
        <w:rPr>
          <w:lang w:val="en-GB"/>
        </w:rPr>
        <w:t xml:space="preserve"> </w:t>
      </w:r>
      <w:r w:rsidR="00EF4378">
        <w:rPr>
          <w:lang w:val="en-GB"/>
        </w:rPr>
        <w:t xml:space="preserve">colliding </w:t>
      </w:r>
      <w:r w:rsidR="00174495">
        <w:rPr>
          <w:lang w:val="en-GB"/>
        </w:rPr>
        <w:t>PDCCH candidate</w:t>
      </w:r>
      <w:r w:rsidR="00EF4378">
        <w:rPr>
          <w:lang w:val="en-GB"/>
        </w:rPr>
        <w:t>s</w:t>
      </w:r>
      <w:r w:rsidR="00174495">
        <w:rPr>
          <w:lang w:val="en-GB"/>
        </w:rPr>
        <w:t xml:space="preserve"> </w:t>
      </w:r>
      <w:r w:rsidR="00EF4378">
        <w:rPr>
          <w:lang w:val="en-GB"/>
        </w:rPr>
        <w:t>between two SSs</w:t>
      </w:r>
      <w:r w:rsidR="00174495">
        <w:rPr>
          <w:lang w:val="en-GB"/>
        </w:rPr>
        <w:t xml:space="preserve"> is equivalent to PDCCH </w:t>
      </w:r>
      <w:r w:rsidR="00746873">
        <w:rPr>
          <w:lang w:val="en-GB"/>
        </w:rPr>
        <w:t xml:space="preserve">CCE </w:t>
      </w:r>
      <w:r w:rsidR="00174495">
        <w:rPr>
          <w:lang w:val="en-GB"/>
        </w:rPr>
        <w:t xml:space="preserve">overbooking handling </w:t>
      </w:r>
      <w:r>
        <w:rPr>
          <w:lang w:val="en-GB"/>
        </w:rPr>
        <w:t>in all slots</w:t>
      </w:r>
      <w:r w:rsidR="001D5521">
        <w:rPr>
          <w:lang w:val="en-GB"/>
        </w:rPr>
        <w:t xml:space="preserve"> of the period of the PDCCH configuration</w:t>
      </w:r>
      <w:r w:rsidR="00DC0FBD">
        <w:rPr>
          <w:lang w:val="en-GB"/>
        </w:rPr>
        <w:t xml:space="preserve">. </w:t>
      </w:r>
      <w:r w:rsidR="00C2396F">
        <w:rPr>
          <w:lang w:val="en-GB"/>
        </w:rPr>
        <w:t>In RAN1-94, we had the following agreement to allow the UE to count the number of DCI sizes before overbooking handling.</w:t>
      </w:r>
      <w:r w:rsidR="00746873">
        <w:rPr>
          <w:lang w:val="en-GB"/>
        </w:rPr>
        <w:t xml:space="preserve"> </w:t>
      </w:r>
      <w:r w:rsidR="00E33A16">
        <w:rPr>
          <w:lang w:val="en-GB"/>
        </w:rPr>
        <w:t>Similarly</w:t>
      </w:r>
      <w:r w:rsidR="00746873">
        <w:rPr>
          <w:lang w:val="en-GB"/>
        </w:rPr>
        <w:t xml:space="preserve">, we think that the last bullet above should be maintained. </w:t>
      </w:r>
    </w:p>
    <w:tbl>
      <w:tblPr>
        <w:tblStyle w:val="TableGrid"/>
        <w:tblW w:w="0" w:type="auto"/>
        <w:tblLook w:val="04A0" w:firstRow="1" w:lastRow="0" w:firstColumn="1" w:lastColumn="0" w:noHBand="0" w:noVBand="1"/>
      </w:tblPr>
      <w:tblGrid>
        <w:gridCol w:w="9629"/>
      </w:tblGrid>
      <w:tr w:rsidR="00D55C70" w14:paraId="48B4452F" w14:textId="77777777" w:rsidTr="00D55C70">
        <w:tc>
          <w:tcPr>
            <w:tcW w:w="9629" w:type="dxa"/>
          </w:tcPr>
          <w:p w14:paraId="46CF014D" w14:textId="77777777" w:rsidR="00D55C70" w:rsidRPr="006C21F4" w:rsidRDefault="00D55C70" w:rsidP="00D55C70">
            <w:pPr>
              <w:spacing w:after="0" w:line="240" w:lineRule="auto"/>
              <w:ind w:left="720" w:hanging="720"/>
              <w:rPr>
                <w:rFonts w:ascii="Times" w:eastAsia="Batang" w:hAnsi="Times"/>
                <w:lang w:val="en-GB"/>
              </w:rPr>
            </w:pPr>
            <w:r w:rsidRPr="006C21F4">
              <w:rPr>
                <w:rFonts w:ascii="Times" w:eastAsia="Batang" w:hAnsi="Times"/>
                <w:highlight w:val="green"/>
                <w:lang w:val="en-GB"/>
              </w:rPr>
              <w:t>Agreements</w:t>
            </w:r>
            <w:r w:rsidRPr="006C21F4">
              <w:rPr>
                <w:rFonts w:ascii="Times" w:eastAsia="Batang" w:hAnsi="Times"/>
                <w:lang w:val="en-GB"/>
              </w:rPr>
              <w:t>:</w:t>
            </w:r>
          </w:p>
          <w:p w14:paraId="72FF56DD" w14:textId="45FC18D3" w:rsidR="00D55C70" w:rsidRDefault="00D55C70" w:rsidP="00D55C70">
            <w:pPr>
              <w:numPr>
                <w:ilvl w:val="0"/>
                <w:numId w:val="16"/>
              </w:numPr>
              <w:overflowPunct/>
              <w:autoSpaceDE/>
              <w:autoSpaceDN/>
              <w:adjustRightInd/>
              <w:spacing w:after="0" w:line="240" w:lineRule="auto"/>
              <w:ind w:left="1440"/>
              <w:textAlignment w:val="auto"/>
              <w:rPr>
                <w:lang w:val="en-GB"/>
              </w:rPr>
            </w:pPr>
            <w:r w:rsidRPr="006C21F4">
              <w:rPr>
                <w:rFonts w:ascii="Times" w:eastAsia="Batang" w:hAnsi="Times"/>
                <w:lang w:val="en-GB"/>
              </w:rPr>
              <w:t>The UE counts the number of DCI sizes across slots based on RRC configuration for PDCCH, without taking into account PDCCH candidate dropping by overbooking handling.</w:t>
            </w:r>
          </w:p>
        </w:tc>
      </w:tr>
    </w:tbl>
    <w:p w14:paraId="19BA61D8" w14:textId="28FC642D" w:rsidR="00E33A16" w:rsidRDefault="00C449DC" w:rsidP="00E33A16">
      <w:pPr>
        <w:rPr>
          <w:b/>
          <w:lang w:eastAsia="zh-CN"/>
        </w:rPr>
      </w:pPr>
      <w:bookmarkStart w:id="2" w:name="dci"/>
      <w:r>
        <w:rPr>
          <w:b/>
          <w:lang w:eastAsia="zh-CN"/>
        </w:rPr>
        <w:t>Observation</w:t>
      </w:r>
      <w:r w:rsidR="00E33A16" w:rsidRPr="00251B60">
        <w:rPr>
          <w:b/>
          <w:lang w:eastAsia="zh-CN"/>
        </w:rPr>
        <w:t xml:space="preserve"> </w:t>
      </w:r>
      <w:r w:rsidR="00E33A16">
        <w:rPr>
          <w:b/>
        </w:rPr>
        <w:fldChar w:fldCharType="begin"/>
      </w:r>
      <w:r w:rsidR="00E33A16">
        <w:rPr>
          <w:b/>
        </w:rPr>
        <w:instrText xml:space="preserve"> seq </w:instrText>
      </w:r>
      <w:r>
        <w:rPr>
          <w:b/>
        </w:rPr>
        <w:instrText>observ</w:instrText>
      </w:r>
      <w:r w:rsidR="00E33A16">
        <w:rPr>
          <w:b/>
        </w:rPr>
        <w:instrText xml:space="preserve"> </w:instrText>
      </w:r>
      <w:r w:rsidR="00E33A16">
        <w:rPr>
          <w:b/>
        </w:rPr>
        <w:fldChar w:fldCharType="separate"/>
      </w:r>
      <w:r w:rsidR="007378C1">
        <w:rPr>
          <w:b/>
          <w:noProof/>
        </w:rPr>
        <w:t>1</w:t>
      </w:r>
      <w:r w:rsidR="00E33A16">
        <w:rPr>
          <w:b/>
        </w:rPr>
        <w:fldChar w:fldCharType="end"/>
      </w:r>
      <w:r w:rsidR="00E33A16" w:rsidRPr="00251B60">
        <w:rPr>
          <w:b/>
          <w:lang w:eastAsia="zh-CN"/>
        </w:rPr>
        <w:t xml:space="preserve">: </w:t>
      </w:r>
      <w:r w:rsidR="00AC4F5F">
        <w:rPr>
          <w:b/>
          <w:lang w:eastAsia="zh-CN"/>
        </w:rPr>
        <w:t xml:space="preserve">The UE </w:t>
      </w:r>
      <w:r w:rsidR="00CB72C5">
        <w:rPr>
          <w:b/>
          <w:lang w:eastAsia="zh-CN"/>
        </w:rPr>
        <w:t xml:space="preserve">should </w:t>
      </w:r>
      <w:r w:rsidR="00AC4F5F">
        <w:rPr>
          <w:b/>
          <w:lang w:eastAsia="zh-CN"/>
        </w:rPr>
        <w:t>not check whether a PDCCH candidate of the non-fallback DCI collides with a PDCCH candidate of the fallback DCI when the two DCIs have the same size and a padding bit is added to the non-fallback DCI</w:t>
      </w:r>
      <w:r w:rsidR="00E33A16" w:rsidRPr="00251B60">
        <w:rPr>
          <w:b/>
          <w:lang w:eastAsia="zh-CN"/>
        </w:rPr>
        <w:t>.</w:t>
      </w:r>
    </w:p>
    <w:bookmarkEnd w:id="2"/>
    <w:p w14:paraId="203BE14D" w14:textId="1764A827" w:rsidR="004C44C6" w:rsidRDefault="004C44C6" w:rsidP="00D36ED4">
      <w:pPr>
        <w:pStyle w:val="Heading2"/>
        <w:numPr>
          <w:ilvl w:val="0"/>
          <w:numId w:val="8"/>
        </w:numPr>
      </w:pPr>
      <w:r>
        <w:rPr>
          <w:lang w:eastAsia="zh-CN"/>
        </w:rPr>
        <w:t>TD Resource Assignment</w:t>
      </w:r>
      <w:r w:rsidR="001F6479">
        <w:rPr>
          <w:lang w:eastAsia="zh-CN"/>
        </w:rPr>
        <w:t xml:space="preserve"> in</w:t>
      </w:r>
      <w:r w:rsidR="00FB7B30">
        <w:rPr>
          <w:lang w:eastAsia="zh-CN"/>
        </w:rPr>
        <w:t xml:space="preserve"> Non-Fallback</w:t>
      </w:r>
      <w:r w:rsidR="001F6479">
        <w:rPr>
          <w:lang w:eastAsia="zh-CN"/>
        </w:rPr>
        <w:t xml:space="preserve"> DCI</w:t>
      </w:r>
    </w:p>
    <w:p w14:paraId="08C9FF8F" w14:textId="5B9E157E" w:rsidR="005E67D7" w:rsidRPr="00C00478" w:rsidRDefault="00FC1ED7" w:rsidP="003A1566">
      <w:r w:rsidRPr="003A1566">
        <w:t>In Section</w:t>
      </w:r>
      <w:r w:rsidR="003A1566">
        <w:t xml:space="preserve"> </w:t>
      </w:r>
      <w:r w:rsidR="00666EFB">
        <w:t>7.3.1.1.2 and Section 7.2.1.2.2</w:t>
      </w:r>
      <w:r>
        <w:t xml:space="preserve"> of TS 38.212</w:t>
      </w:r>
      <w:r w:rsidR="00666EFB">
        <w:t>,</w:t>
      </w:r>
      <w:r>
        <w:t xml:space="preserve"> a field “Time domain resource assignment” is defined </w:t>
      </w:r>
      <w:r w:rsidR="002106D0">
        <w:t>in non-fall</w:t>
      </w:r>
      <w:r>
        <w:t>back DCI</w:t>
      </w:r>
      <w:r w:rsidR="00370409">
        <w:t>s</w:t>
      </w:r>
      <w:r>
        <w:t xml:space="preserve"> for PUSCH and PDSCH scheduling. </w:t>
      </w:r>
      <w:r w:rsidR="00370409">
        <w:t>B</w:t>
      </w:r>
      <w:r w:rsidR="00C00478">
        <w:t xml:space="preserve">itwidth </w:t>
      </w:r>
      <w:r w:rsidR="00370409">
        <w:t>of</w:t>
      </w:r>
      <w:r w:rsidR="00C00478">
        <w:t xml:space="preserve"> this field is determined by the number of entries in the higher layer parameter </w:t>
      </w:r>
      <w:r w:rsidR="00C00478" w:rsidRPr="00420BBD">
        <w:rPr>
          <w:i/>
        </w:rPr>
        <w:t>p</w:t>
      </w:r>
      <w:r w:rsidR="00C00478">
        <w:rPr>
          <w:i/>
        </w:rPr>
        <w:t>u</w:t>
      </w:r>
      <w:r w:rsidR="00C00478" w:rsidRPr="00420BBD">
        <w:rPr>
          <w:i/>
        </w:rPr>
        <w:t>sch-</w:t>
      </w:r>
      <w:r w:rsidR="00C00478">
        <w:rPr>
          <w:rFonts w:hint="eastAsia"/>
          <w:i/>
          <w:lang w:eastAsia="zh-CN"/>
        </w:rPr>
        <w:t>TimeDomain</w:t>
      </w:r>
      <w:r w:rsidR="00C00478" w:rsidRPr="00420BBD">
        <w:rPr>
          <w:i/>
        </w:rPr>
        <w:t>AllocationList</w:t>
      </w:r>
      <w:r w:rsidR="00C00478">
        <w:rPr>
          <w:i/>
        </w:rPr>
        <w:t xml:space="preserve"> </w:t>
      </w:r>
      <w:r w:rsidR="00233A3F">
        <w:t>or</w:t>
      </w:r>
      <w:r w:rsidR="00C00478">
        <w:t xml:space="preserve"> </w:t>
      </w:r>
      <w:r w:rsidR="00C00478" w:rsidRPr="00420BBD">
        <w:rPr>
          <w:i/>
        </w:rPr>
        <w:t>p</w:t>
      </w:r>
      <w:r w:rsidR="00C00478">
        <w:rPr>
          <w:i/>
        </w:rPr>
        <w:t>d</w:t>
      </w:r>
      <w:r w:rsidR="00C00478" w:rsidRPr="00420BBD">
        <w:rPr>
          <w:i/>
        </w:rPr>
        <w:t>sch-</w:t>
      </w:r>
      <w:r w:rsidR="00C00478">
        <w:rPr>
          <w:rFonts w:hint="eastAsia"/>
          <w:i/>
          <w:lang w:eastAsia="zh-CN"/>
        </w:rPr>
        <w:t>TimeDomain</w:t>
      </w:r>
      <w:r w:rsidR="00C00478" w:rsidRPr="00420BBD">
        <w:rPr>
          <w:i/>
        </w:rPr>
        <w:t>AllocationList</w:t>
      </w:r>
      <w:r w:rsidR="00C00478">
        <w:t>.</w:t>
      </w:r>
    </w:p>
    <w:tbl>
      <w:tblPr>
        <w:tblStyle w:val="TableGrid"/>
        <w:tblW w:w="0" w:type="auto"/>
        <w:tblLook w:val="04A0" w:firstRow="1" w:lastRow="0" w:firstColumn="1" w:lastColumn="0" w:noHBand="0" w:noVBand="1"/>
      </w:tblPr>
      <w:tblGrid>
        <w:gridCol w:w="9629"/>
      </w:tblGrid>
      <w:tr w:rsidR="006C36B7" w14:paraId="2E7D775A" w14:textId="77777777" w:rsidTr="006C36B7">
        <w:tc>
          <w:tcPr>
            <w:tcW w:w="9629" w:type="dxa"/>
          </w:tcPr>
          <w:p w14:paraId="16933CDD" w14:textId="19F8AF06" w:rsidR="006C36B7" w:rsidRPr="006C36B7" w:rsidRDefault="006C36B7" w:rsidP="006C36B7">
            <w:pPr>
              <w:rPr>
                <w:b/>
                <w:u w:val="single"/>
              </w:rPr>
            </w:pPr>
            <w:r w:rsidRPr="006C36B7">
              <w:rPr>
                <w:b/>
                <w:u w:val="single"/>
              </w:rPr>
              <w:t xml:space="preserve">In </w:t>
            </w:r>
            <w:r>
              <w:rPr>
                <w:b/>
                <w:u w:val="single"/>
              </w:rPr>
              <w:t>Section 7.3.1.1.2 of TS 38.212</w:t>
            </w:r>
          </w:p>
          <w:p w14:paraId="00C90ADF" w14:textId="77777777" w:rsidR="006C36B7" w:rsidRDefault="006C36B7" w:rsidP="006C36B7">
            <w:pPr>
              <w:pStyle w:val="B1"/>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w14:anchorId="4566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6.95pt" o:ole="">
                  <v:imagedata r:id="rId13" o:title=""/>
                </v:shape>
                <o:OLEObject Type="Embed" ProgID="Equation.3" ShapeID="_x0000_i1025" DrawAspect="Content" ObjectID="_1602689014" r:id="rId14"/>
              </w:object>
            </w:r>
            <w:r>
              <w:t>bits, where</w:t>
            </w:r>
            <w:r w:rsidRPr="00B252E8">
              <w:rPr>
                <w:i/>
              </w:rPr>
              <w:t xml:space="preserve"> I</w:t>
            </w:r>
            <w:r>
              <w:t xml:space="preserve"> </w:t>
            </w:r>
            <w:r>
              <w:rPr>
                <w:rFonts w:hint="eastAsia"/>
                <w:lang w:eastAsia="zh-CN"/>
              </w:rPr>
              <w:t xml:space="preserve">is </w:t>
            </w:r>
            <w:r>
              <w:t xml:space="preserve">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r>
              <w:rPr>
                <w:i/>
              </w:rPr>
              <w:t>.</w:t>
            </w:r>
          </w:p>
          <w:p w14:paraId="5D44254B" w14:textId="05F65E3B" w:rsidR="005209C7" w:rsidRPr="006C36B7" w:rsidRDefault="005209C7" w:rsidP="005209C7">
            <w:pPr>
              <w:rPr>
                <w:b/>
                <w:u w:val="single"/>
              </w:rPr>
            </w:pPr>
            <w:r w:rsidRPr="006C36B7">
              <w:rPr>
                <w:b/>
                <w:u w:val="single"/>
              </w:rPr>
              <w:t xml:space="preserve">In </w:t>
            </w:r>
            <w:r>
              <w:rPr>
                <w:b/>
                <w:u w:val="single"/>
              </w:rPr>
              <w:t>Section 7.3.1.2.2 of TS 38.212</w:t>
            </w:r>
          </w:p>
          <w:p w14:paraId="68E82FC5" w14:textId="5A0ED15A" w:rsidR="005209C7" w:rsidRPr="005209C7" w:rsidRDefault="004B0B90" w:rsidP="004B0B90">
            <w:pPr>
              <w:pStyle w:val="B1"/>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w14:anchorId="3AE30DDD">
                <v:shape id="_x0000_i1026" type="#_x0000_t75" style="width:36.6pt;height:15pt" o:ole="">
                  <v:imagedata r:id="rId15" o:title=""/>
                </v:shape>
                <o:OLEObject Type="Embed" ProgID="Equation.3" ShapeID="_x0000_i1026" DrawAspect="Content" ObjectID="_1602689015" r:id="rId16"/>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r>
              <w:rPr>
                <w:rFonts w:hint="eastAsia"/>
                <w:lang w:eastAsia="zh-CN"/>
              </w:rPr>
              <w:t>.</w:t>
            </w:r>
          </w:p>
        </w:tc>
      </w:tr>
    </w:tbl>
    <w:p w14:paraId="279A6138" w14:textId="76BB4A97" w:rsidR="002E6610" w:rsidRPr="00C00478" w:rsidRDefault="00B009B2" w:rsidP="007D2D82">
      <w:pPr>
        <w:spacing w:before="240"/>
      </w:pPr>
      <w:r>
        <w:rPr>
          <w:lang w:val="en-GB"/>
        </w:rPr>
        <w:t xml:space="preserve">According to </w:t>
      </w:r>
      <w:r w:rsidR="00EA333C">
        <w:rPr>
          <w:lang w:val="en-GB"/>
        </w:rPr>
        <w:t xml:space="preserve">TS 38.214, </w:t>
      </w:r>
      <w:r w:rsidR="00AF0E28">
        <w:rPr>
          <w:lang w:val="en-GB"/>
        </w:rPr>
        <w:t>network may not configure</w:t>
      </w:r>
      <w:r>
        <w:rPr>
          <w:lang w:val="en-GB"/>
        </w:rPr>
        <w:t xml:space="preserve"> </w:t>
      </w:r>
      <w:r w:rsidR="00AF0E28" w:rsidRPr="00420BBD">
        <w:rPr>
          <w:i/>
        </w:rPr>
        <w:t>p</w:t>
      </w:r>
      <w:r w:rsidR="00AF0E28">
        <w:rPr>
          <w:i/>
        </w:rPr>
        <w:t>u</w:t>
      </w:r>
      <w:r w:rsidR="00AF0E28" w:rsidRPr="00420BBD">
        <w:rPr>
          <w:i/>
        </w:rPr>
        <w:t>sch-</w:t>
      </w:r>
      <w:r w:rsidR="00AF0E28">
        <w:rPr>
          <w:rFonts w:hint="eastAsia"/>
          <w:i/>
          <w:lang w:eastAsia="zh-CN"/>
        </w:rPr>
        <w:t>TimeDomain</w:t>
      </w:r>
      <w:r w:rsidR="00AF0E28" w:rsidRPr="00420BBD">
        <w:rPr>
          <w:i/>
        </w:rPr>
        <w:t>AllocationList</w:t>
      </w:r>
      <w:r w:rsidR="00AF0E28">
        <w:rPr>
          <w:i/>
        </w:rPr>
        <w:t xml:space="preserve"> </w:t>
      </w:r>
      <w:r w:rsidR="00AF0E28">
        <w:t xml:space="preserve">or </w:t>
      </w:r>
      <w:r w:rsidR="00AF0E28" w:rsidRPr="00420BBD">
        <w:rPr>
          <w:i/>
        </w:rPr>
        <w:t>p</w:t>
      </w:r>
      <w:r w:rsidR="00AF0E28">
        <w:rPr>
          <w:i/>
        </w:rPr>
        <w:t>d</w:t>
      </w:r>
      <w:r w:rsidR="00AF0E28" w:rsidRPr="00420BBD">
        <w:rPr>
          <w:i/>
        </w:rPr>
        <w:t>sch-</w:t>
      </w:r>
      <w:r w:rsidR="00AF0E28">
        <w:rPr>
          <w:rFonts w:hint="eastAsia"/>
          <w:i/>
          <w:lang w:eastAsia="zh-CN"/>
        </w:rPr>
        <w:t>TimeDomain</w:t>
      </w:r>
      <w:r w:rsidR="00AF0E28" w:rsidRPr="00420BBD">
        <w:rPr>
          <w:i/>
        </w:rPr>
        <w:t>AllocationList</w:t>
      </w:r>
      <w:r w:rsidR="00AF0E28">
        <w:t xml:space="preserve">. </w:t>
      </w:r>
      <w:r w:rsidR="00A61420">
        <w:t>If the higher parameter</w:t>
      </w:r>
      <w:r w:rsidR="0021597B">
        <w:t xml:space="preserve"> </w:t>
      </w:r>
      <w:r w:rsidR="00A61420">
        <w:t>is</w:t>
      </w:r>
      <w:r w:rsidR="0021597B">
        <w:t xml:space="preserve"> not configured</w:t>
      </w:r>
      <w:r w:rsidR="00AF0E28">
        <w:t xml:space="preserve">, the UE </w:t>
      </w:r>
      <w:r w:rsidR="002F3A9C">
        <w:t>use</w:t>
      </w:r>
      <w:r w:rsidR="00A61420">
        <w:t>s</w:t>
      </w:r>
      <w:r w:rsidR="002F3A9C">
        <w:t xml:space="preserve"> a default table to determine the </w:t>
      </w:r>
      <w:r w:rsidR="0021597B">
        <w:t xml:space="preserve">time </w:t>
      </w:r>
      <w:r w:rsidR="0021597B">
        <w:lastRenderedPageBreak/>
        <w:t xml:space="preserve">domain resource assignment for PUSCH and PDSCH. </w:t>
      </w:r>
      <w:r w:rsidR="006348E3">
        <w:t xml:space="preserve">Therefore, </w:t>
      </w:r>
      <w:r w:rsidR="006343E6">
        <w:t xml:space="preserve">text in 38.212 needs to be updated to </w:t>
      </w:r>
      <w:r w:rsidR="00A61420">
        <w:t>reflect</w:t>
      </w:r>
      <w:r w:rsidR="006343E6">
        <w:t xml:space="preserve"> </w:t>
      </w:r>
      <w:r w:rsidR="002F1FDA">
        <w:t xml:space="preserve">that default table </w:t>
      </w:r>
      <w:r w:rsidR="003F25FF">
        <w:t>can</w:t>
      </w:r>
      <w:r w:rsidR="002F1FDA">
        <w:t xml:space="preserve"> used</w:t>
      </w:r>
      <w:r w:rsidR="00A61420">
        <w:t xml:space="preserve">. </w:t>
      </w:r>
      <w:r w:rsidR="003F25FF">
        <w:t>Accordingly, w</w:t>
      </w:r>
      <w:r w:rsidR="00A61420">
        <w:t>e have the</w:t>
      </w:r>
      <w:r w:rsidR="002F1FDA">
        <w:t xml:space="preserve"> following text proposal.</w:t>
      </w:r>
    </w:p>
    <w:tbl>
      <w:tblPr>
        <w:tblStyle w:val="TableGrid"/>
        <w:tblW w:w="0" w:type="auto"/>
        <w:tblLook w:val="04A0" w:firstRow="1" w:lastRow="0" w:firstColumn="1" w:lastColumn="0" w:noHBand="0" w:noVBand="1"/>
      </w:tblPr>
      <w:tblGrid>
        <w:gridCol w:w="9629"/>
      </w:tblGrid>
      <w:tr w:rsidR="002E6610" w14:paraId="2A7D05E5" w14:textId="77777777" w:rsidTr="009A62DD">
        <w:tc>
          <w:tcPr>
            <w:tcW w:w="9629" w:type="dxa"/>
          </w:tcPr>
          <w:p w14:paraId="689078B5" w14:textId="77777777" w:rsidR="002E6610" w:rsidRPr="006C36B7" w:rsidRDefault="002E6610" w:rsidP="009A62DD">
            <w:pPr>
              <w:rPr>
                <w:b/>
                <w:u w:val="single"/>
              </w:rPr>
            </w:pPr>
            <w:r w:rsidRPr="006C36B7">
              <w:rPr>
                <w:b/>
                <w:u w:val="single"/>
              </w:rPr>
              <w:t xml:space="preserve">In </w:t>
            </w:r>
            <w:r>
              <w:rPr>
                <w:b/>
                <w:u w:val="single"/>
              </w:rPr>
              <w:t>Section 7.3.1.1.2 of TS 38.212</w:t>
            </w:r>
          </w:p>
          <w:p w14:paraId="0973B004" w14:textId="134AE982" w:rsidR="002E6610" w:rsidRDefault="002E6610" w:rsidP="009A62DD">
            <w:pPr>
              <w:pStyle w:val="B1"/>
            </w:pPr>
            <w:r>
              <w:t>-</w:t>
            </w:r>
            <w:r>
              <w:rPr>
                <w:rFonts w:hint="eastAsia"/>
                <w:lang w:eastAsia="zh-CN"/>
              </w:rPr>
              <w:tab/>
              <w:t xml:space="preserve">Time domain resource assignment </w:t>
            </w:r>
            <w:r>
              <w:t>–</w:t>
            </w:r>
            <w:r>
              <w:rPr>
                <w:rFonts w:hint="eastAsia"/>
                <w:lang w:eastAsia="zh-CN"/>
              </w:rPr>
              <w:t xml:space="preserve"> 0, 1, 2, 3, or 4 bits as defined in Subclause 6.1.2.1 of [6, TS38.214]. The bitwidth for this field is determined </w:t>
            </w:r>
            <w:r>
              <w:rPr>
                <w:lang w:eastAsia="zh-CN"/>
              </w:rPr>
              <w:t xml:space="preserve">as </w:t>
            </w:r>
            <w:r w:rsidRPr="003D7004">
              <w:rPr>
                <w:position w:val="-12"/>
              </w:rPr>
              <w:object w:dxaOrig="1060" w:dyaOrig="400" w14:anchorId="7B79F701">
                <v:shape id="_x0000_i1027" type="#_x0000_t75" style="width:44.65pt;height:16.95pt" o:ole="">
                  <v:imagedata r:id="rId13" o:title=""/>
                </v:shape>
                <o:OLEObject Type="Embed" ProgID="Equation.3" ShapeID="_x0000_i1027" DrawAspect="Content" ObjectID="_1602689016" r:id="rId17"/>
              </w:object>
            </w:r>
            <w:r>
              <w:t>bits, where</w:t>
            </w:r>
            <w:r w:rsidRPr="00B252E8">
              <w:rPr>
                <w:i/>
              </w:rPr>
              <w:t xml:space="preserve"> I</w:t>
            </w:r>
            <w:r>
              <w:t xml:space="preserve"> </w:t>
            </w:r>
            <w:r>
              <w:rPr>
                <w:rFonts w:hint="eastAsia"/>
                <w:lang w:eastAsia="zh-CN"/>
              </w:rPr>
              <w:t xml:space="preserve">is </w:t>
            </w:r>
            <w:r>
              <w:t xml:space="preserve">the number of </w:t>
            </w:r>
            <w:r>
              <w:rPr>
                <w:rFonts w:hint="eastAsia"/>
                <w:lang w:eastAsia="zh-CN"/>
              </w:rPr>
              <w:t>entries</w:t>
            </w:r>
            <w:r>
              <w:t xml:space="preserve"> in the higher layer parameter </w:t>
            </w:r>
            <w:r w:rsidRPr="00420BBD">
              <w:rPr>
                <w:i/>
              </w:rPr>
              <w:t>p</w:t>
            </w:r>
            <w:r>
              <w:rPr>
                <w:i/>
              </w:rPr>
              <w:t>u</w:t>
            </w:r>
            <w:r w:rsidRPr="00420BBD">
              <w:rPr>
                <w:i/>
              </w:rPr>
              <w:t>sch-</w:t>
            </w:r>
            <w:r>
              <w:rPr>
                <w:rFonts w:hint="eastAsia"/>
                <w:i/>
                <w:lang w:eastAsia="zh-CN"/>
              </w:rPr>
              <w:t>TimeDomain</w:t>
            </w:r>
            <w:r w:rsidRPr="00420BBD">
              <w:rPr>
                <w:i/>
              </w:rPr>
              <w:t>AllocationList</w:t>
            </w:r>
            <w:r w:rsidR="003836EB">
              <w:rPr>
                <w:i/>
                <w:color w:val="FF0000"/>
                <w:lang w:val="en-US"/>
              </w:rPr>
              <w:t xml:space="preserve"> </w:t>
            </w:r>
            <w:r w:rsidR="003836EB" w:rsidRPr="003836EB">
              <w:rPr>
                <w:color w:val="FF0000"/>
                <w:lang w:val="en-US"/>
              </w:rPr>
              <w:t>if</w:t>
            </w:r>
            <w:r w:rsidR="003836EB">
              <w:rPr>
                <w:lang w:val="en-US"/>
              </w:rPr>
              <w:t xml:space="preserve"> </w:t>
            </w:r>
            <w:r w:rsidR="003836EB">
              <w:rPr>
                <w:color w:val="FF0000"/>
                <w:lang w:val="en-US"/>
              </w:rPr>
              <w:t xml:space="preserve">the higher layer parameter is configured; otherwise </w:t>
            </w:r>
            <w:r w:rsidR="003836EB">
              <w:rPr>
                <w:i/>
                <w:color w:val="FF0000"/>
                <w:lang w:val="en-US"/>
              </w:rPr>
              <w:t xml:space="preserve">I </w:t>
            </w:r>
            <w:r w:rsidR="003836EB">
              <w:rPr>
                <w:color w:val="FF0000"/>
                <w:lang w:val="en-US"/>
              </w:rPr>
              <w:t>is the number of entries in the default table</w:t>
            </w:r>
            <w:r>
              <w:rPr>
                <w:i/>
              </w:rPr>
              <w:t>.</w:t>
            </w:r>
          </w:p>
          <w:p w14:paraId="36345163" w14:textId="77777777" w:rsidR="002E6610" w:rsidRPr="006C36B7" w:rsidRDefault="002E6610" w:rsidP="009A62DD">
            <w:pPr>
              <w:rPr>
                <w:b/>
                <w:u w:val="single"/>
              </w:rPr>
            </w:pPr>
            <w:r w:rsidRPr="006C36B7">
              <w:rPr>
                <w:b/>
                <w:u w:val="single"/>
              </w:rPr>
              <w:t xml:space="preserve">In </w:t>
            </w:r>
            <w:r>
              <w:rPr>
                <w:b/>
                <w:u w:val="single"/>
              </w:rPr>
              <w:t>Section 7.3.1.2.2 of TS 38.212</w:t>
            </w:r>
          </w:p>
          <w:p w14:paraId="102304D4" w14:textId="5AB94437" w:rsidR="002E6610" w:rsidRPr="005209C7" w:rsidRDefault="002E6610" w:rsidP="009A62DD">
            <w:pPr>
              <w:pStyle w:val="B1"/>
            </w:pPr>
            <w:r>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w14:anchorId="1105D3C8">
                <v:shape id="_x0000_i1028" type="#_x0000_t75" style="width:36.6pt;height:15pt" o:ole="">
                  <v:imagedata r:id="rId15" o:title=""/>
                </v:shape>
                <o:OLEObject Type="Embed" ProgID="Equation.3" ShapeID="_x0000_i1028" DrawAspect="Content" ObjectID="_1602689017" r:id="rId18"/>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w:t>
            </w:r>
            <w:r>
              <w:rPr>
                <w:rFonts w:hint="eastAsia"/>
                <w:i/>
                <w:lang w:eastAsia="zh-CN"/>
              </w:rPr>
              <w:t>TimeDomain</w:t>
            </w:r>
            <w:r w:rsidRPr="00420BBD">
              <w:rPr>
                <w:i/>
              </w:rPr>
              <w:t>AllocationList</w:t>
            </w:r>
            <w:r w:rsidR="00625D32">
              <w:rPr>
                <w:i/>
                <w:lang w:val="en-US"/>
              </w:rPr>
              <w:t xml:space="preserve"> </w:t>
            </w:r>
            <w:r w:rsidR="00625D32" w:rsidRPr="003836EB">
              <w:rPr>
                <w:color w:val="FF0000"/>
                <w:lang w:val="en-US"/>
              </w:rPr>
              <w:t>if</w:t>
            </w:r>
            <w:r w:rsidR="00625D32">
              <w:rPr>
                <w:lang w:val="en-US"/>
              </w:rPr>
              <w:t xml:space="preserve"> </w:t>
            </w:r>
            <w:r w:rsidR="00625D32">
              <w:rPr>
                <w:color w:val="FF0000"/>
                <w:lang w:val="en-US"/>
              </w:rPr>
              <w:t xml:space="preserve">the higher layer parameter is configured; otherwise </w:t>
            </w:r>
            <w:r w:rsidR="00625D32">
              <w:rPr>
                <w:i/>
                <w:color w:val="FF0000"/>
                <w:lang w:val="en-US"/>
              </w:rPr>
              <w:t xml:space="preserve">I </w:t>
            </w:r>
            <w:r w:rsidR="00625D32">
              <w:rPr>
                <w:color w:val="FF0000"/>
                <w:lang w:val="en-US"/>
              </w:rPr>
              <w:t>is the number of entries in the default table</w:t>
            </w:r>
            <w:r>
              <w:rPr>
                <w:rFonts w:hint="eastAsia"/>
                <w:lang w:eastAsia="zh-CN"/>
              </w:rPr>
              <w:t>.</w:t>
            </w:r>
          </w:p>
        </w:tc>
      </w:tr>
    </w:tbl>
    <w:p w14:paraId="4A0E6D06" w14:textId="18295E7D" w:rsidR="0018612A" w:rsidRPr="00830D0A" w:rsidRDefault="008830C6" w:rsidP="008830C6">
      <w:pPr>
        <w:rPr>
          <w:b/>
          <w:lang w:eastAsia="zh-CN"/>
        </w:rPr>
      </w:pPr>
      <w:bookmarkStart w:id="3" w:name="tdra"/>
      <w:r w:rsidRPr="00251B60">
        <w:rPr>
          <w:b/>
          <w:lang w:eastAsia="zh-CN"/>
        </w:rPr>
        <w:t xml:space="preserve">Proposal </w:t>
      </w:r>
      <w:r>
        <w:rPr>
          <w:b/>
        </w:rPr>
        <w:fldChar w:fldCharType="begin"/>
      </w:r>
      <w:r>
        <w:rPr>
          <w:b/>
        </w:rPr>
        <w:instrText xml:space="preserve"> seq prop </w:instrText>
      </w:r>
      <w:r>
        <w:rPr>
          <w:b/>
        </w:rPr>
        <w:fldChar w:fldCharType="separate"/>
      </w:r>
      <w:r w:rsidR="007378C1">
        <w:rPr>
          <w:b/>
          <w:noProof/>
        </w:rPr>
        <w:t>3</w:t>
      </w:r>
      <w:r>
        <w:rPr>
          <w:b/>
        </w:rPr>
        <w:fldChar w:fldCharType="end"/>
      </w:r>
      <w:r w:rsidRPr="00251B60">
        <w:rPr>
          <w:b/>
          <w:lang w:eastAsia="zh-CN"/>
        </w:rPr>
        <w:t xml:space="preserve">: </w:t>
      </w:r>
      <w:r w:rsidR="00616E37">
        <w:rPr>
          <w:b/>
          <w:lang w:eastAsia="zh-CN"/>
        </w:rPr>
        <w:t xml:space="preserve">Adopt the text proposal in Sections 7.2.1.1.2 and 7.2.1.2.2 to clarify </w:t>
      </w:r>
      <w:r w:rsidR="00DB4A39">
        <w:rPr>
          <w:b/>
          <w:lang w:eastAsia="zh-CN"/>
        </w:rPr>
        <w:t xml:space="preserve">that bitwidth of the time domain resource assignment </w:t>
      </w:r>
      <w:r w:rsidR="00843EC2">
        <w:rPr>
          <w:b/>
          <w:lang w:eastAsia="zh-CN"/>
        </w:rPr>
        <w:t xml:space="preserve">field </w:t>
      </w:r>
      <w:r w:rsidR="00DB4A39">
        <w:rPr>
          <w:b/>
          <w:lang w:eastAsia="zh-CN"/>
        </w:rPr>
        <w:t>is determined by the number of entries of the</w:t>
      </w:r>
      <w:r w:rsidR="0065431C">
        <w:rPr>
          <w:b/>
          <w:lang w:eastAsia="zh-CN"/>
        </w:rPr>
        <w:t xml:space="preserve"> respective</w:t>
      </w:r>
      <w:r w:rsidR="00DB4A39">
        <w:rPr>
          <w:b/>
          <w:lang w:eastAsia="zh-CN"/>
        </w:rPr>
        <w:t xml:space="preserve"> default table if </w:t>
      </w:r>
      <w:r w:rsidR="0008496A">
        <w:rPr>
          <w:b/>
          <w:lang w:eastAsia="zh-CN"/>
        </w:rPr>
        <w:t xml:space="preserve">the </w:t>
      </w:r>
      <w:r w:rsidR="00DB4A39">
        <w:rPr>
          <w:b/>
          <w:lang w:eastAsia="zh-CN"/>
        </w:rPr>
        <w:t>higher parameter</w:t>
      </w:r>
      <w:r w:rsidR="00FD0D58">
        <w:rPr>
          <w:b/>
          <w:lang w:eastAsia="zh-CN"/>
        </w:rPr>
        <w:t xml:space="preserve"> </w:t>
      </w:r>
      <w:r w:rsidR="00FD0D58" w:rsidRPr="00FD0D58">
        <w:rPr>
          <w:b/>
          <w:i/>
        </w:rPr>
        <w:t>pusch-</w:t>
      </w:r>
      <w:r w:rsidR="00FD0D58" w:rsidRPr="00FD0D58">
        <w:rPr>
          <w:rFonts w:hint="eastAsia"/>
          <w:b/>
          <w:i/>
          <w:lang w:eastAsia="zh-CN"/>
        </w:rPr>
        <w:t>TimeDomain</w:t>
      </w:r>
      <w:r w:rsidR="00FD0D58" w:rsidRPr="00FD0D58">
        <w:rPr>
          <w:b/>
          <w:i/>
        </w:rPr>
        <w:t xml:space="preserve">AllocationList </w:t>
      </w:r>
      <w:r w:rsidR="00FD0D58" w:rsidRPr="00FD0D58">
        <w:rPr>
          <w:b/>
        </w:rPr>
        <w:t xml:space="preserve">or </w:t>
      </w:r>
      <w:r w:rsidR="00FD0D58" w:rsidRPr="00FD0D58">
        <w:rPr>
          <w:b/>
          <w:i/>
        </w:rPr>
        <w:t>pdsch-</w:t>
      </w:r>
      <w:r w:rsidR="00FD0D58" w:rsidRPr="00FD0D58">
        <w:rPr>
          <w:rFonts w:hint="eastAsia"/>
          <w:b/>
          <w:i/>
          <w:lang w:eastAsia="zh-CN"/>
        </w:rPr>
        <w:t>TimeDomain</w:t>
      </w:r>
      <w:r w:rsidR="00FD0D58" w:rsidRPr="00FD0D58">
        <w:rPr>
          <w:b/>
          <w:i/>
        </w:rPr>
        <w:t>AllocationList</w:t>
      </w:r>
      <w:r w:rsidR="00DB4A39" w:rsidRPr="00FD0D58">
        <w:rPr>
          <w:b/>
          <w:lang w:eastAsia="zh-CN"/>
        </w:rPr>
        <w:t xml:space="preserve"> </w:t>
      </w:r>
      <w:r w:rsidR="0008496A" w:rsidRPr="00FD0D58">
        <w:rPr>
          <w:b/>
          <w:lang w:eastAsia="zh-CN"/>
        </w:rPr>
        <w:t>is</w:t>
      </w:r>
      <w:r w:rsidR="00DB4A39" w:rsidRPr="00FD0D58">
        <w:rPr>
          <w:b/>
          <w:lang w:eastAsia="zh-CN"/>
        </w:rPr>
        <w:t xml:space="preserve"> not</w:t>
      </w:r>
      <w:r w:rsidR="00DB4A39">
        <w:rPr>
          <w:b/>
          <w:lang w:eastAsia="zh-CN"/>
        </w:rPr>
        <w:t xml:space="preserve"> configured</w:t>
      </w:r>
      <w:r w:rsidRPr="00251B60">
        <w:rPr>
          <w:b/>
          <w:lang w:eastAsia="zh-CN"/>
        </w:rPr>
        <w:t>.</w:t>
      </w:r>
      <w:bookmarkEnd w:id="3"/>
    </w:p>
    <w:p w14:paraId="035AFC24" w14:textId="38075954" w:rsidR="0049108E" w:rsidRDefault="0049108E" w:rsidP="00E80ACF">
      <w:pPr>
        <w:pStyle w:val="Heading1"/>
        <w:numPr>
          <w:ilvl w:val="0"/>
          <w:numId w:val="4"/>
        </w:numPr>
      </w:pPr>
      <w:r w:rsidRPr="00E05A22">
        <w:t xml:space="preserve">Conclusions </w:t>
      </w:r>
    </w:p>
    <w:p w14:paraId="5487A501" w14:textId="4FB0D27E" w:rsidR="0049108E" w:rsidRDefault="0049108E" w:rsidP="0049108E">
      <w:r>
        <w:t xml:space="preserve">In this contribution, we have discussed the remaining issues on </w:t>
      </w:r>
      <w:r w:rsidR="00FD72B4">
        <w:t>PDCCH</w:t>
      </w:r>
      <w:r>
        <w:t xml:space="preserve"> and have made the following </w:t>
      </w:r>
      <w:r w:rsidR="007C0D29">
        <w:t xml:space="preserve">observation and </w:t>
      </w:r>
      <w:r>
        <w:t>proposals:</w:t>
      </w:r>
    </w:p>
    <w:bookmarkStart w:id="4" w:name="_GoBack"/>
    <w:p w14:paraId="482DBC0E" w14:textId="77777777" w:rsidR="00C32A2C" w:rsidRDefault="007C0D29" w:rsidP="00E33A16">
      <w:pPr>
        <w:rPr>
          <w:b/>
          <w:lang w:eastAsia="zh-CN"/>
        </w:rPr>
      </w:pPr>
      <w:r>
        <w:fldChar w:fldCharType="begin"/>
      </w:r>
      <w:r>
        <w:instrText xml:space="preserve"> REF dci \h </w:instrText>
      </w:r>
      <w:r>
        <w:fldChar w:fldCharType="separate"/>
      </w:r>
      <w:r w:rsidR="00C32A2C">
        <w:rPr>
          <w:b/>
          <w:lang w:eastAsia="zh-CN"/>
        </w:rPr>
        <w:t>Observation</w:t>
      </w:r>
      <w:r w:rsidR="00C32A2C" w:rsidRPr="00251B60">
        <w:rPr>
          <w:b/>
          <w:lang w:eastAsia="zh-CN"/>
        </w:rPr>
        <w:t xml:space="preserve"> </w:t>
      </w:r>
      <w:r w:rsidR="00C32A2C">
        <w:rPr>
          <w:b/>
          <w:noProof/>
        </w:rPr>
        <w:t>1</w:t>
      </w:r>
      <w:r w:rsidR="00C32A2C" w:rsidRPr="00251B60">
        <w:rPr>
          <w:b/>
          <w:lang w:eastAsia="zh-CN"/>
        </w:rPr>
        <w:t xml:space="preserve">: </w:t>
      </w:r>
      <w:r w:rsidR="00C32A2C">
        <w:rPr>
          <w:b/>
          <w:lang w:eastAsia="zh-CN"/>
        </w:rPr>
        <w:t>The UE should not check whether a PDCCH candidate of the non-fallback DCI collides with a PDCCH candidate of the fallback DCI when the two DCIs have the same size and a padding bit is added to the non-fallback DCI</w:t>
      </w:r>
      <w:r w:rsidR="00C32A2C" w:rsidRPr="00251B60">
        <w:rPr>
          <w:b/>
          <w:lang w:eastAsia="zh-CN"/>
        </w:rPr>
        <w:t>.</w:t>
      </w:r>
    </w:p>
    <w:p w14:paraId="0EB29D44" w14:textId="77777777" w:rsidR="00C32A2C" w:rsidRDefault="007C0D29" w:rsidP="00FE0A4B">
      <w:pPr>
        <w:rPr>
          <w:b/>
          <w:lang w:eastAsia="zh-CN"/>
        </w:rPr>
      </w:pPr>
      <w:r>
        <w:fldChar w:fldCharType="end"/>
      </w:r>
      <w:r w:rsidR="00C139F7">
        <w:fldChar w:fldCharType="begin"/>
      </w:r>
      <w:r w:rsidR="00C139F7">
        <w:instrText xml:space="preserve"> REF limit \h </w:instrText>
      </w:r>
      <w:r w:rsidR="00C139F7">
        <w:fldChar w:fldCharType="separate"/>
      </w:r>
      <w:r w:rsidR="00C32A2C" w:rsidRPr="00251B60">
        <w:rPr>
          <w:b/>
          <w:lang w:eastAsia="zh-CN"/>
        </w:rPr>
        <w:t xml:space="preserve">Proposal </w:t>
      </w:r>
      <w:r w:rsidR="00C32A2C">
        <w:rPr>
          <w:b/>
          <w:noProof/>
        </w:rPr>
        <w:t>1</w:t>
      </w:r>
      <w:r w:rsidR="00C32A2C" w:rsidRPr="00251B60">
        <w:rPr>
          <w:b/>
          <w:lang w:eastAsia="zh-CN"/>
        </w:rPr>
        <w:t xml:space="preserve">: </w:t>
      </w:r>
      <w:r w:rsidR="00C32A2C" w:rsidRPr="00FF0597">
        <w:rPr>
          <w:rFonts w:hint="eastAsia"/>
          <w:b/>
          <w:lang w:eastAsia="zh-CN"/>
        </w:rPr>
        <w:t>F</w:t>
      </w:r>
      <w:r w:rsidR="00C32A2C" w:rsidRPr="00FF0597">
        <w:rPr>
          <w:b/>
          <w:lang w:eastAsia="zh-CN"/>
        </w:rPr>
        <w:t>or cross-carrier scheduling with the same numerology between scheduling cell and scheduled cell(s) but different numerologies between scheduling cell(s)</w:t>
      </w:r>
    </w:p>
    <w:p w14:paraId="7547F9D7" w14:textId="77777777" w:rsidR="00C32A2C" w:rsidRPr="00FF0597" w:rsidRDefault="00C32A2C" w:rsidP="00FF0597">
      <w:pPr>
        <w:numPr>
          <w:ilvl w:val="0"/>
          <w:numId w:val="19"/>
        </w:numPr>
        <w:overflowPunct/>
        <w:autoSpaceDE/>
        <w:autoSpaceDN/>
        <w:adjustRightInd/>
        <w:spacing w:after="0"/>
        <w:textAlignment w:val="auto"/>
        <w:rPr>
          <w:b/>
        </w:rPr>
      </w:pPr>
      <w:r w:rsidRPr="00FF0597">
        <w:rPr>
          <w:b/>
        </w:rPr>
        <w:t>The total number of BDs/CCEs across serving cells per numerology can be split across serving cells for the given numerology, subject to the non-CA limit on each serving cell.</w:t>
      </w:r>
    </w:p>
    <w:p w14:paraId="65489986" w14:textId="77777777" w:rsidR="00C32A2C" w:rsidRPr="00FF0597" w:rsidRDefault="00C32A2C" w:rsidP="00FF0597">
      <w:pPr>
        <w:numPr>
          <w:ilvl w:val="0"/>
          <w:numId w:val="19"/>
        </w:numPr>
        <w:overflowPunct/>
        <w:autoSpaceDE/>
        <w:autoSpaceDN/>
        <w:adjustRightInd/>
        <w:spacing w:after="0"/>
        <w:textAlignment w:val="auto"/>
        <w:rPr>
          <w:b/>
        </w:rPr>
      </w:pPr>
      <w:r w:rsidRPr="00FF0597">
        <w:rPr>
          <w:b/>
        </w:rPr>
        <w:t xml:space="preserve">For SCell, NW ensures no overbooking based on non-CA case occurs. </w:t>
      </w:r>
    </w:p>
    <w:p w14:paraId="2D36A397" w14:textId="77777777" w:rsidR="00C32A2C" w:rsidRPr="00FF0597" w:rsidRDefault="00C32A2C" w:rsidP="00FF0597">
      <w:pPr>
        <w:numPr>
          <w:ilvl w:val="0"/>
          <w:numId w:val="19"/>
        </w:numPr>
        <w:overflowPunct/>
        <w:autoSpaceDE/>
        <w:autoSpaceDN/>
        <w:adjustRightInd/>
        <w:textAlignment w:val="auto"/>
        <w:rPr>
          <w:b/>
        </w:rPr>
      </w:pPr>
      <w:r w:rsidRPr="00FF0597">
        <w:rPr>
          <w:b/>
        </w:rPr>
        <w:t>BDs/CCEs overlapped across DL serving cells are independently counted (i.e., counted per serving cell).</w:t>
      </w:r>
    </w:p>
    <w:p w14:paraId="38C84336" w14:textId="77777777" w:rsidR="00C32A2C" w:rsidRPr="004C7743" w:rsidRDefault="00C139F7" w:rsidP="00B476C5">
      <w:pPr>
        <w:rPr>
          <w:b/>
          <w:lang w:eastAsia="zh-CN"/>
        </w:rPr>
      </w:pPr>
      <w:r>
        <w:fldChar w:fldCharType="end"/>
      </w:r>
      <w:r w:rsidR="00062F12">
        <w:fldChar w:fldCharType="begin"/>
      </w:r>
      <w:r w:rsidR="00062F12">
        <w:instrText xml:space="preserve"> REF coreset0 \h </w:instrText>
      </w:r>
      <w:r w:rsidR="00062F12">
        <w:fldChar w:fldCharType="separate"/>
      </w:r>
      <w:r w:rsidR="00C32A2C" w:rsidRPr="00251B60">
        <w:rPr>
          <w:b/>
          <w:lang w:eastAsia="zh-CN"/>
        </w:rPr>
        <w:t xml:space="preserve">Proposal </w:t>
      </w:r>
      <w:r w:rsidR="00C32A2C">
        <w:rPr>
          <w:b/>
          <w:noProof/>
        </w:rPr>
        <w:t>2</w:t>
      </w:r>
      <w:r w:rsidR="00C32A2C" w:rsidRPr="00251B60">
        <w:rPr>
          <w:b/>
          <w:lang w:eastAsia="zh-CN"/>
        </w:rPr>
        <w:t>:</w:t>
      </w:r>
      <w:r w:rsidR="00C32A2C">
        <w:rPr>
          <w:b/>
          <w:lang w:eastAsia="zh-CN"/>
        </w:rPr>
        <w:t xml:space="preserve"> Adopt the TP to clarify that </w:t>
      </w:r>
      <w:r w:rsidR="00C32A2C" w:rsidRPr="00FB1C55">
        <w:rPr>
          <w:b/>
          <w:lang w:eastAsia="zh-CN"/>
        </w:rPr>
        <w:t>A UE can use CORESET #0 in an active DL BWP for PDCCH monitoring only if CORESET #0 is fully contained within the active DL BWP in frequency and subcarrier spacing of the active DL BWP is same as the subcarrier spacing of CORESET #0</w:t>
      </w:r>
      <w:r w:rsidR="00C32A2C">
        <w:rPr>
          <w:b/>
          <w:lang w:eastAsia="zh-CN"/>
        </w:rPr>
        <w:t>.</w:t>
      </w:r>
    </w:p>
    <w:p w14:paraId="3CC32A88" w14:textId="5DF4EB1D" w:rsidR="00F864B3" w:rsidRDefault="00062F12" w:rsidP="0049108E">
      <w:pPr>
        <w:rPr>
          <w:lang w:eastAsia="zh-CN"/>
        </w:rPr>
      </w:pPr>
      <w:r>
        <w:fldChar w:fldCharType="end"/>
      </w:r>
      <w:r>
        <w:fldChar w:fldCharType="begin"/>
      </w:r>
      <w:r>
        <w:instrText xml:space="preserve"> REF tdra \h </w:instrText>
      </w:r>
      <w:r>
        <w:fldChar w:fldCharType="separate"/>
      </w:r>
      <w:r w:rsidR="00C32A2C" w:rsidRPr="00251B60">
        <w:rPr>
          <w:b/>
          <w:lang w:eastAsia="zh-CN"/>
        </w:rPr>
        <w:t xml:space="preserve">Proposal </w:t>
      </w:r>
      <w:r w:rsidR="00C32A2C">
        <w:rPr>
          <w:b/>
          <w:noProof/>
        </w:rPr>
        <w:t>3</w:t>
      </w:r>
      <w:r w:rsidR="00C32A2C" w:rsidRPr="00251B60">
        <w:rPr>
          <w:b/>
          <w:lang w:eastAsia="zh-CN"/>
        </w:rPr>
        <w:t xml:space="preserve">: </w:t>
      </w:r>
      <w:r w:rsidR="00C32A2C">
        <w:rPr>
          <w:b/>
          <w:lang w:eastAsia="zh-CN"/>
        </w:rPr>
        <w:t xml:space="preserve">Adopt the text proposal in Sections 7.2.1.1.2 and 7.2.1.2.2 to clarify that bitwidth of the time domain resource assignment field is determined by the number of entries of the respective default table if the higher parameter </w:t>
      </w:r>
      <w:r w:rsidR="00C32A2C" w:rsidRPr="00FD0D58">
        <w:rPr>
          <w:b/>
          <w:i/>
        </w:rPr>
        <w:t>pusch-</w:t>
      </w:r>
      <w:r w:rsidR="00C32A2C" w:rsidRPr="00FD0D58">
        <w:rPr>
          <w:rFonts w:hint="eastAsia"/>
          <w:b/>
          <w:i/>
          <w:lang w:eastAsia="zh-CN"/>
        </w:rPr>
        <w:t>TimeDomain</w:t>
      </w:r>
      <w:r w:rsidR="00C32A2C" w:rsidRPr="00FD0D58">
        <w:rPr>
          <w:b/>
          <w:i/>
        </w:rPr>
        <w:t xml:space="preserve">AllocationList </w:t>
      </w:r>
      <w:r w:rsidR="00C32A2C" w:rsidRPr="00FD0D58">
        <w:rPr>
          <w:b/>
        </w:rPr>
        <w:t xml:space="preserve">or </w:t>
      </w:r>
      <w:r w:rsidR="00C32A2C" w:rsidRPr="00FD0D58">
        <w:rPr>
          <w:b/>
          <w:i/>
        </w:rPr>
        <w:t>pdsch-</w:t>
      </w:r>
      <w:r w:rsidR="00C32A2C" w:rsidRPr="00FD0D58">
        <w:rPr>
          <w:rFonts w:hint="eastAsia"/>
          <w:b/>
          <w:i/>
          <w:lang w:eastAsia="zh-CN"/>
        </w:rPr>
        <w:t>TimeDomain</w:t>
      </w:r>
      <w:r w:rsidR="00C32A2C" w:rsidRPr="00FD0D58">
        <w:rPr>
          <w:b/>
          <w:i/>
        </w:rPr>
        <w:t>AllocationList</w:t>
      </w:r>
      <w:r w:rsidR="00C32A2C" w:rsidRPr="00FD0D58">
        <w:rPr>
          <w:b/>
          <w:lang w:eastAsia="zh-CN"/>
        </w:rPr>
        <w:t xml:space="preserve"> is not</w:t>
      </w:r>
      <w:r w:rsidR="00C32A2C">
        <w:rPr>
          <w:b/>
          <w:lang w:eastAsia="zh-CN"/>
        </w:rPr>
        <w:t xml:space="preserve"> configured</w:t>
      </w:r>
      <w:r w:rsidR="00C32A2C" w:rsidRPr="00251B60">
        <w:rPr>
          <w:b/>
          <w:lang w:eastAsia="zh-CN"/>
        </w:rPr>
        <w:t>.</w:t>
      </w:r>
      <w:r>
        <w:fldChar w:fldCharType="end"/>
      </w:r>
      <w:bookmarkEnd w:id="4"/>
      <w:r w:rsidR="005E7750">
        <w:rPr>
          <w:lang w:eastAsia="zh-CN"/>
        </w:rPr>
        <w:t xml:space="preserve"> </w:t>
      </w:r>
    </w:p>
    <w:sectPr w:rsidR="00F864B3"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71054" w14:textId="77777777" w:rsidR="001A5550" w:rsidRDefault="001A5550">
      <w:r>
        <w:separator/>
      </w:r>
    </w:p>
  </w:endnote>
  <w:endnote w:type="continuationSeparator" w:id="0">
    <w:p w14:paraId="34B73043" w14:textId="77777777" w:rsidR="001A5550" w:rsidRDefault="001A5550">
      <w:r>
        <w:continuationSeparator/>
      </w:r>
    </w:p>
  </w:endnote>
  <w:endnote w:type="continuationNotice" w:id="1">
    <w:p w14:paraId="4BDD0ABC" w14:textId="77777777" w:rsidR="001A5550" w:rsidRDefault="001A5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72A84" w:rsidRDefault="00A72A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72A84" w:rsidRDefault="00A72A8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F510C4F" w:rsidR="00A72A84" w:rsidRDefault="00A72A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4DE3" w14:textId="77777777" w:rsidR="001A5550" w:rsidRDefault="001A5550">
      <w:r>
        <w:separator/>
      </w:r>
    </w:p>
  </w:footnote>
  <w:footnote w:type="continuationSeparator" w:id="0">
    <w:p w14:paraId="2B3822B3" w14:textId="77777777" w:rsidR="001A5550" w:rsidRDefault="001A5550">
      <w:r>
        <w:continuationSeparator/>
      </w:r>
    </w:p>
  </w:footnote>
  <w:footnote w:type="continuationNotice" w:id="1">
    <w:p w14:paraId="18A89734" w14:textId="77777777" w:rsidR="001A5550" w:rsidRDefault="001A5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72A84" w:rsidRDefault="00A72A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23D5C"/>
    <w:multiLevelType w:val="hybridMultilevel"/>
    <w:tmpl w:val="20CE0258"/>
    <w:lvl w:ilvl="0" w:tplc="EEDAC650">
      <w:start w:val="7"/>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A6F31"/>
    <w:multiLevelType w:val="hybridMultilevel"/>
    <w:tmpl w:val="B86EE9DE"/>
    <w:lvl w:ilvl="0" w:tplc="DC82FA6C">
      <w:start w:val="1"/>
      <w:numFmt w:val="decimal"/>
      <w:lvlText w:val="2.%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45904"/>
    <w:multiLevelType w:val="hybridMultilevel"/>
    <w:tmpl w:val="59CC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C5DA8"/>
    <w:multiLevelType w:val="hybridMultilevel"/>
    <w:tmpl w:val="9F3C30D0"/>
    <w:lvl w:ilvl="0" w:tplc="AB60FA06">
      <w:start w:val="1"/>
      <w:numFmt w:val="decimal"/>
      <w:lvlText w:val="%1"/>
      <w:lvlJc w:val="left"/>
      <w:pPr>
        <w:ind w:left="1130" w:hanging="113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360"/>
        </w:tabs>
        <w:ind w:left="360" w:hanging="360"/>
      </w:pPr>
      <w:rPr>
        <w:rFonts w:ascii="Arial" w:hAnsi="Arial" w:cs="Times New Roman" w:hint="default"/>
      </w:rPr>
    </w:lvl>
    <w:lvl w:ilvl="1" w:tplc="1DA4A136">
      <w:start w:val="206"/>
      <w:numFmt w:val="bullet"/>
      <w:lvlText w:val="•"/>
      <w:lvlJc w:val="left"/>
      <w:pPr>
        <w:tabs>
          <w:tab w:val="num" w:pos="1080"/>
        </w:tabs>
        <w:ind w:left="1080" w:hanging="360"/>
      </w:pPr>
      <w:rPr>
        <w:rFonts w:ascii="Arial" w:hAnsi="Arial" w:cs="Times New Roman" w:hint="default"/>
      </w:rPr>
    </w:lvl>
    <w:lvl w:ilvl="2" w:tplc="323EC3DE">
      <w:start w:val="206"/>
      <w:numFmt w:val="bullet"/>
      <w:lvlText w:val="•"/>
      <w:lvlJc w:val="left"/>
      <w:pPr>
        <w:tabs>
          <w:tab w:val="num" w:pos="1800"/>
        </w:tabs>
        <w:ind w:left="1800" w:hanging="360"/>
      </w:pPr>
      <w:rPr>
        <w:rFonts w:ascii="Arial" w:hAnsi="Arial" w:cs="Times New Roman" w:hint="default"/>
      </w:rPr>
    </w:lvl>
    <w:lvl w:ilvl="3" w:tplc="B21A25C8">
      <w:start w:val="1"/>
      <w:numFmt w:val="bullet"/>
      <w:lvlText w:val="•"/>
      <w:lvlJc w:val="left"/>
      <w:pPr>
        <w:tabs>
          <w:tab w:val="num" w:pos="2520"/>
        </w:tabs>
        <w:ind w:left="2520" w:hanging="360"/>
      </w:pPr>
      <w:rPr>
        <w:rFonts w:ascii="Arial" w:hAnsi="Arial" w:cs="Times New Roman" w:hint="default"/>
      </w:rPr>
    </w:lvl>
    <w:lvl w:ilvl="4" w:tplc="E2B4C022">
      <w:start w:val="1"/>
      <w:numFmt w:val="bullet"/>
      <w:lvlText w:val="•"/>
      <w:lvlJc w:val="left"/>
      <w:pPr>
        <w:tabs>
          <w:tab w:val="num" w:pos="3240"/>
        </w:tabs>
        <w:ind w:left="3240" w:hanging="360"/>
      </w:pPr>
      <w:rPr>
        <w:rFonts w:ascii="Arial" w:hAnsi="Arial" w:cs="Times New Roman" w:hint="default"/>
      </w:rPr>
    </w:lvl>
    <w:lvl w:ilvl="5" w:tplc="4926860E">
      <w:start w:val="1"/>
      <w:numFmt w:val="bullet"/>
      <w:lvlText w:val="•"/>
      <w:lvlJc w:val="left"/>
      <w:pPr>
        <w:tabs>
          <w:tab w:val="num" w:pos="3960"/>
        </w:tabs>
        <w:ind w:left="3960" w:hanging="360"/>
      </w:pPr>
      <w:rPr>
        <w:rFonts w:ascii="Arial" w:hAnsi="Arial" w:cs="Times New Roman" w:hint="default"/>
      </w:rPr>
    </w:lvl>
    <w:lvl w:ilvl="6" w:tplc="54F8205C">
      <w:start w:val="1"/>
      <w:numFmt w:val="bullet"/>
      <w:lvlText w:val="•"/>
      <w:lvlJc w:val="left"/>
      <w:pPr>
        <w:tabs>
          <w:tab w:val="num" w:pos="4680"/>
        </w:tabs>
        <w:ind w:left="4680" w:hanging="360"/>
      </w:pPr>
      <w:rPr>
        <w:rFonts w:ascii="Arial" w:hAnsi="Arial" w:cs="Times New Roman" w:hint="default"/>
      </w:rPr>
    </w:lvl>
    <w:lvl w:ilvl="7" w:tplc="B0DC7AB0">
      <w:start w:val="1"/>
      <w:numFmt w:val="bullet"/>
      <w:lvlText w:val="•"/>
      <w:lvlJc w:val="left"/>
      <w:pPr>
        <w:tabs>
          <w:tab w:val="num" w:pos="5400"/>
        </w:tabs>
        <w:ind w:left="5400" w:hanging="360"/>
      </w:pPr>
      <w:rPr>
        <w:rFonts w:ascii="Arial" w:hAnsi="Arial" w:cs="Times New Roman" w:hint="default"/>
      </w:rPr>
    </w:lvl>
    <w:lvl w:ilvl="8" w:tplc="11D43CA0">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DAB63B2"/>
    <w:multiLevelType w:val="hybridMultilevel"/>
    <w:tmpl w:val="47F02A46"/>
    <w:lvl w:ilvl="0" w:tplc="04090001">
      <w:start w:val="1"/>
      <w:numFmt w:val="bullet"/>
      <w:lvlText w:val=""/>
      <w:lvlJc w:val="left"/>
      <w:pPr>
        <w:ind w:left="720" w:hanging="360"/>
      </w:pPr>
      <w:rPr>
        <w:rFonts w:ascii="Symbol" w:hAnsi="Symbol" w:hint="default"/>
      </w:rPr>
    </w:lvl>
    <w:lvl w:ilvl="1" w:tplc="486E068E">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B3B7A"/>
    <w:multiLevelType w:val="hybridMultilevel"/>
    <w:tmpl w:val="3530E578"/>
    <w:lvl w:ilvl="0" w:tplc="6E7E6F60">
      <w:start w:val="1"/>
      <w:numFmt w:val="decimal"/>
      <w:lvlText w:val="3.%1"/>
      <w:lvlJc w:val="left"/>
      <w:pPr>
        <w:ind w:left="113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AD0686"/>
    <w:multiLevelType w:val="hybridMultilevel"/>
    <w:tmpl w:val="E8C689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DB4CFB"/>
    <w:multiLevelType w:val="hybridMultilevel"/>
    <w:tmpl w:val="A7643054"/>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1FD38CE"/>
    <w:multiLevelType w:val="hybridMultilevel"/>
    <w:tmpl w:val="028E7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0A5097"/>
    <w:multiLevelType w:val="hybridMultilevel"/>
    <w:tmpl w:val="A3DE0D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9" w15:restartNumberingAfterBreak="0">
    <w:nsid w:val="59920544"/>
    <w:multiLevelType w:val="hybridMultilevel"/>
    <w:tmpl w:val="7E1A3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1C6DA0"/>
    <w:multiLevelType w:val="hybridMultilevel"/>
    <w:tmpl w:val="7778BCC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4"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0"/>
  </w:num>
  <w:num w:numId="4">
    <w:abstractNumId w:val="7"/>
  </w:num>
  <w:num w:numId="5">
    <w:abstractNumId w:val="23"/>
  </w:num>
  <w:num w:numId="6">
    <w:abstractNumId w:val="22"/>
  </w:num>
  <w:num w:numId="7">
    <w:abstractNumId w:val="3"/>
  </w:num>
  <w:num w:numId="8">
    <w:abstractNumId w:val="13"/>
  </w:num>
  <w:num w:numId="9">
    <w:abstractNumId w:val="5"/>
  </w:num>
  <w:num w:numId="10">
    <w:abstractNumId w:val="17"/>
  </w:num>
  <w:num w:numId="11">
    <w:abstractNumId w:val="9"/>
  </w:num>
  <w:num w:numId="12">
    <w:abstractNumId w:val="2"/>
  </w:num>
  <w:num w:numId="13">
    <w:abstractNumId w:val="10"/>
  </w:num>
  <w:num w:numId="14">
    <w:abstractNumId w:val="15"/>
  </w:num>
  <w:num w:numId="15">
    <w:abstractNumId w:val="21"/>
  </w:num>
  <w:num w:numId="16">
    <w:abstractNumId w:val="18"/>
  </w:num>
  <w:num w:numId="17">
    <w:abstractNumId w:val="4"/>
  </w:num>
  <w:num w:numId="18">
    <w:abstractNumId w:val="1"/>
  </w:num>
  <w:num w:numId="19">
    <w:abstractNumId w:val="20"/>
  </w:num>
  <w:num w:numId="20">
    <w:abstractNumId w:val="8"/>
  </w:num>
  <w:num w:numId="21">
    <w:abstractNumId w:val="16"/>
  </w:num>
  <w:num w:numId="22">
    <w:abstractNumId w:val="6"/>
  </w:num>
  <w:num w:numId="23">
    <w:abstractNumId w:val="11"/>
  </w:num>
  <w:num w:numId="24">
    <w:abstractNumId w:val="24"/>
  </w:num>
  <w:num w:numId="2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0BE9"/>
    <w:rsid w:val="00000CF3"/>
    <w:rsid w:val="00000CFF"/>
    <w:rsid w:val="00000F02"/>
    <w:rsid w:val="0000140A"/>
    <w:rsid w:val="0000163B"/>
    <w:rsid w:val="0000198C"/>
    <w:rsid w:val="00001A5F"/>
    <w:rsid w:val="00001D0A"/>
    <w:rsid w:val="00001EC7"/>
    <w:rsid w:val="00001F78"/>
    <w:rsid w:val="00001FC3"/>
    <w:rsid w:val="000020FE"/>
    <w:rsid w:val="00002328"/>
    <w:rsid w:val="0000283A"/>
    <w:rsid w:val="00003131"/>
    <w:rsid w:val="000031DF"/>
    <w:rsid w:val="0000325E"/>
    <w:rsid w:val="000034D8"/>
    <w:rsid w:val="000037FB"/>
    <w:rsid w:val="00004961"/>
    <w:rsid w:val="00004A41"/>
    <w:rsid w:val="00004AA9"/>
    <w:rsid w:val="00005622"/>
    <w:rsid w:val="00006040"/>
    <w:rsid w:val="0000618A"/>
    <w:rsid w:val="00006449"/>
    <w:rsid w:val="000066A2"/>
    <w:rsid w:val="000066D9"/>
    <w:rsid w:val="000070D4"/>
    <w:rsid w:val="00007440"/>
    <w:rsid w:val="00007571"/>
    <w:rsid w:val="00007730"/>
    <w:rsid w:val="0001014C"/>
    <w:rsid w:val="00010383"/>
    <w:rsid w:val="000103E0"/>
    <w:rsid w:val="00010B78"/>
    <w:rsid w:val="00010C01"/>
    <w:rsid w:val="00010DA7"/>
    <w:rsid w:val="000114B4"/>
    <w:rsid w:val="0001172E"/>
    <w:rsid w:val="00011F5D"/>
    <w:rsid w:val="00012697"/>
    <w:rsid w:val="00012947"/>
    <w:rsid w:val="000129BA"/>
    <w:rsid w:val="000135FF"/>
    <w:rsid w:val="000136A3"/>
    <w:rsid w:val="0001441C"/>
    <w:rsid w:val="000146A8"/>
    <w:rsid w:val="00014957"/>
    <w:rsid w:val="00014A52"/>
    <w:rsid w:val="00014DD7"/>
    <w:rsid w:val="00014E0B"/>
    <w:rsid w:val="000151D6"/>
    <w:rsid w:val="000152AC"/>
    <w:rsid w:val="00015530"/>
    <w:rsid w:val="00015962"/>
    <w:rsid w:val="00015AC7"/>
    <w:rsid w:val="00015AE3"/>
    <w:rsid w:val="00015CE3"/>
    <w:rsid w:val="000162B2"/>
    <w:rsid w:val="000164DE"/>
    <w:rsid w:val="000168D6"/>
    <w:rsid w:val="00016B4C"/>
    <w:rsid w:val="00016B5D"/>
    <w:rsid w:val="00017013"/>
    <w:rsid w:val="00017047"/>
    <w:rsid w:val="00017050"/>
    <w:rsid w:val="00017117"/>
    <w:rsid w:val="00017CBD"/>
    <w:rsid w:val="000205C1"/>
    <w:rsid w:val="00020AC8"/>
    <w:rsid w:val="00020B85"/>
    <w:rsid w:val="00020D61"/>
    <w:rsid w:val="0002130A"/>
    <w:rsid w:val="0002141E"/>
    <w:rsid w:val="0002172D"/>
    <w:rsid w:val="00021BC3"/>
    <w:rsid w:val="00021DEC"/>
    <w:rsid w:val="000222F7"/>
    <w:rsid w:val="0002248B"/>
    <w:rsid w:val="0002293D"/>
    <w:rsid w:val="00022989"/>
    <w:rsid w:val="000229C2"/>
    <w:rsid w:val="00022B18"/>
    <w:rsid w:val="000235D7"/>
    <w:rsid w:val="0002364C"/>
    <w:rsid w:val="00023C29"/>
    <w:rsid w:val="00023FEE"/>
    <w:rsid w:val="00024061"/>
    <w:rsid w:val="00024420"/>
    <w:rsid w:val="00024614"/>
    <w:rsid w:val="000248E7"/>
    <w:rsid w:val="00024EA8"/>
    <w:rsid w:val="000254DC"/>
    <w:rsid w:val="000255A1"/>
    <w:rsid w:val="0002577C"/>
    <w:rsid w:val="000259FF"/>
    <w:rsid w:val="00025C61"/>
    <w:rsid w:val="00025D97"/>
    <w:rsid w:val="00025E16"/>
    <w:rsid w:val="000266AE"/>
    <w:rsid w:val="00026905"/>
    <w:rsid w:val="00026B19"/>
    <w:rsid w:val="00027013"/>
    <w:rsid w:val="000278E2"/>
    <w:rsid w:val="00027ABB"/>
    <w:rsid w:val="00027BF7"/>
    <w:rsid w:val="000300FE"/>
    <w:rsid w:val="00030424"/>
    <w:rsid w:val="00030A42"/>
    <w:rsid w:val="00030B50"/>
    <w:rsid w:val="00030EDE"/>
    <w:rsid w:val="00030F08"/>
    <w:rsid w:val="00030F74"/>
    <w:rsid w:val="0003125B"/>
    <w:rsid w:val="0003127F"/>
    <w:rsid w:val="000316F8"/>
    <w:rsid w:val="000319C1"/>
    <w:rsid w:val="00031EDD"/>
    <w:rsid w:val="00032824"/>
    <w:rsid w:val="00032C82"/>
    <w:rsid w:val="00032E45"/>
    <w:rsid w:val="00033796"/>
    <w:rsid w:val="00033A35"/>
    <w:rsid w:val="0003447B"/>
    <w:rsid w:val="000349B7"/>
    <w:rsid w:val="000349E0"/>
    <w:rsid w:val="00034B9E"/>
    <w:rsid w:val="00034C07"/>
    <w:rsid w:val="00034FA5"/>
    <w:rsid w:val="0003508A"/>
    <w:rsid w:val="00035400"/>
    <w:rsid w:val="0003540B"/>
    <w:rsid w:val="0003577C"/>
    <w:rsid w:val="000357CA"/>
    <w:rsid w:val="00035842"/>
    <w:rsid w:val="00035BA3"/>
    <w:rsid w:val="0003630F"/>
    <w:rsid w:val="00037199"/>
    <w:rsid w:val="0003722F"/>
    <w:rsid w:val="000377B8"/>
    <w:rsid w:val="000377BD"/>
    <w:rsid w:val="000379DA"/>
    <w:rsid w:val="00037A21"/>
    <w:rsid w:val="00037C88"/>
    <w:rsid w:val="00037CA8"/>
    <w:rsid w:val="000404F2"/>
    <w:rsid w:val="000417B6"/>
    <w:rsid w:val="00041ABD"/>
    <w:rsid w:val="0004213B"/>
    <w:rsid w:val="000421A0"/>
    <w:rsid w:val="000429D0"/>
    <w:rsid w:val="00042C2A"/>
    <w:rsid w:val="00042C72"/>
    <w:rsid w:val="00042CDC"/>
    <w:rsid w:val="00042D64"/>
    <w:rsid w:val="0004397E"/>
    <w:rsid w:val="00043AB0"/>
    <w:rsid w:val="00043C9A"/>
    <w:rsid w:val="0004428E"/>
    <w:rsid w:val="0004434E"/>
    <w:rsid w:val="0004453E"/>
    <w:rsid w:val="00044890"/>
    <w:rsid w:val="000449DD"/>
    <w:rsid w:val="00044AFB"/>
    <w:rsid w:val="00044DAA"/>
    <w:rsid w:val="00044EFE"/>
    <w:rsid w:val="000451C3"/>
    <w:rsid w:val="000451E5"/>
    <w:rsid w:val="000453F6"/>
    <w:rsid w:val="000457D3"/>
    <w:rsid w:val="00045B62"/>
    <w:rsid w:val="000469C6"/>
    <w:rsid w:val="00046CD6"/>
    <w:rsid w:val="00047127"/>
    <w:rsid w:val="000477BB"/>
    <w:rsid w:val="00050068"/>
    <w:rsid w:val="0005055B"/>
    <w:rsid w:val="000507E8"/>
    <w:rsid w:val="00050E72"/>
    <w:rsid w:val="00051135"/>
    <w:rsid w:val="00051711"/>
    <w:rsid w:val="00051BDC"/>
    <w:rsid w:val="00052383"/>
    <w:rsid w:val="00052E47"/>
    <w:rsid w:val="00053782"/>
    <w:rsid w:val="000539E1"/>
    <w:rsid w:val="00053A47"/>
    <w:rsid w:val="00053E86"/>
    <w:rsid w:val="00054F5A"/>
    <w:rsid w:val="00055A1E"/>
    <w:rsid w:val="00055B35"/>
    <w:rsid w:val="0005602E"/>
    <w:rsid w:val="00056057"/>
    <w:rsid w:val="000565AE"/>
    <w:rsid w:val="00056F06"/>
    <w:rsid w:val="000570A3"/>
    <w:rsid w:val="000570E2"/>
    <w:rsid w:val="00057515"/>
    <w:rsid w:val="0005759C"/>
    <w:rsid w:val="00057F6C"/>
    <w:rsid w:val="000605AE"/>
    <w:rsid w:val="00060BE0"/>
    <w:rsid w:val="00060D34"/>
    <w:rsid w:val="00060FDB"/>
    <w:rsid w:val="000612C5"/>
    <w:rsid w:val="000620A9"/>
    <w:rsid w:val="0006247B"/>
    <w:rsid w:val="0006272D"/>
    <w:rsid w:val="00062963"/>
    <w:rsid w:val="00062CA8"/>
    <w:rsid w:val="00062F12"/>
    <w:rsid w:val="0006376B"/>
    <w:rsid w:val="00063E21"/>
    <w:rsid w:val="00063F57"/>
    <w:rsid w:val="0006539D"/>
    <w:rsid w:val="0006549C"/>
    <w:rsid w:val="0006633C"/>
    <w:rsid w:val="000663D1"/>
    <w:rsid w:val="00066576"/>
    <w:rsid w:val="00066696"/>
    <w:rsid w:val="000667D1"/>
    <w:rsid w:val="00066B79"/>
    <w:rsid w:val="0006739D"/>
    <w:rsid w:val="00067436"/>
    <w:rsid w:val="0006774C"/>
    <w:rsid w:val="00067AE0"/>
    <w:rsid w:val="0007074E"/>
    <w:rsid w:val="000708A9"/>
    <w:rsid w:val="00070F1A"/>
    <w:rsid w:val="0007140F"/>
    <w:rsid w:val="0007164E"/>
    <w:rsid w:val="000716FB"/>
    <w:rsid w:val="00071FCA"/>
    <w:rsid w:val="000726F8"/>
    <w:rsid w:val="000727E3"/>
    <w:rsid w:val="000728CB"/>
    <w:rsid w:val="00072BEC"/>
    <w:rsid w:val="00072EFA"/>
    <w:rsid w:val="000732F1"/>
    <w:rsid w:val="00073FEE"/>
    <w:rsid w:val="000743A0"/>
    <w:rsid w:val="000743B4"/>
    <w:rsid w:val="00074A64"/>
    <w:rsid w:val="00074BF5"/>
    <w:rsid w:val="00074E59"/>
    <w:rsid w:val="00074F66"/>
    <w:rsid w:val="00075680"/>
    <w:rsid w:val="000765CC"/>
    <w:rsid w:val="00077CF2"/>
    <w:rsid w:val="00077EB9"/>
    <w:rsid w:val="000801D8"/>
    <w:rsid w:val="00080783"/>
    <w:rsid w:val="000809CB"/>
    <w:rsid w:val="00081401"/>
    <w:rsid w:val="0008175B"/>
    <w:rsid w:val="000819CF"/>
    <w:rsid w:val="00081ABE"/>
    <w:rsid w:val="00081AEF"/>
    <w:rsid w:val="000820C9"/>
    <w:rsid w:val="0008257A"/>
    <w:rsid w:val="00083322"/>
    <w:rsid w:val="000835F8"/>
    <w:rsid w:val="00083B9A"/>
    <w:rsid w:val="00083ECD"/>
    <w:rsid w:val="000840E7"/>
    <w:rsid w:val="00084255"/>
    <w:rsid w:val="00084516"/>
    <w:rsid w:val="0008496A"/>
    <w:rsid w:val="00084C78"/>
    <w:rsid w:val="00085465"/>
    <w:rsid w:val="00085B20"/>
    <w:rsid w:val="00085C0B"/>
    <w:rsid w:val="00086247"/>
    <w:rsid w:val="000862F2"/>
    <w:rsid w:val="00086602"/>
    <w:rsid w:val="00086657"/>
    <w:rsid w:val="00086864"/>
    <w:rsid w:val="00086B50"/>
    <w:rsid w:val="00086F03"/>
    <w:rsid w:val="00086F5F"/>
    <w:rsid w:val="00087085"/>
    <w:rsid w:val="00087A3A"/>
    <w:rsid w:val="00087E29"/>
    <w:rsid w:val="00090323"/>
    <w:rsid w:val="0009112F"/>
    <w:rsid w:val="000913D5"/>
    <w:rsid w:val="00091978"/>
    <w:rsid w:val="00091A99"/>
    <w:rsid w:val="00093131"/>
    <w:rsid w:val="000931C3"/>
    <w:rsid w:val="0009401D"/>
    <w:rsid w:val="00094EF2"/>
    <w:rsid w:val="00094F3B"/>
    <w:rsid w:val="0009559C"/>
    <w:rsid w:val="00096F8A"/>
    <w:rsid w:val="00097021"/>
    <w:rsid w:val="0009709B"/>
    <w:rsid w:val="00097907"/>
    <w:rsid w:val="00097B13"/>
    <w:rsid w:val="000A0488"/>
    <w:rsid w:val="000A0D72"/>
    <w:rsid w:val="000A0E99"/>
    <w:rsid w:val="000A19B6"/>
    <w:rsid w:val="000A1D49"/>
    <w:rsid w:val="000A1FB3"/>
    <w:rsid w:val="000A2AA6"/>
    <w:rsid w:val="000A356B"/>
    <w:rsid w:val="000A3ACB"/>
    <w:rsid w:val="000A3E0F"/>
    <w:rsid w:val="000A4B74"/>
    <w:rsid w:val="000A4BD4"/>
    <w:rsid w:val="000A4EC1"/>
    <w:rsid w:val="000A5243"/>
    <w:rsid w:val="000A5CF7"/>
    <w:rsid w:val="000A5DA0"/>
    <w:rsid w:val="000A5DDB"/>
    <w:rsid w:val="000A5F2B"/>
    <w:rsid w:val="000A6466"/>
    <w:rsid w:val="000A66B9"/>
    <w:rsid w:val="000A6788"/>
    <w:rsid w:val="000A6CFE"/>
    <w:rsid w:val="000A6DA8"/>
    <w:rsid w:val="000A70B0"/>
    <w:rsid w:val="000B0735"/>
    <w:rsid w:val="000B0CFA"/>
    <w:rsid w:val="000B16D3"/>
    <w:rsid w:val="000B1B68"/>
    <w:rsid w:val="000B1CD3"/>
    <w:rsid w:val="000B1D6C"/>
    <w:rsid w:val="000B1FBE"/>
    <w:rsid w:val="000B23E2"/>
    <w:rsid w:val="000B245F"/>
    <w:rsid w:val="000B247A"/>
    <w:rsid w:val="000B256B"/>
    <w:rsid w:val="000B3F37"/>
    <w:rsid w:val="000B4235"/>
    <w:rsid w:val="000B546F"/>
    <w:rsid w:val="000B5E00"/>
    <w:rsid w:val="000B5E4A"/>
    <w:rsid w:val="000B68FD"/>
    <w:rsid w:val="000B69CA"/>
    <w:rsid w:val="000B6D3D"/>
    <w:rsid w:val="000B7447"/>
    <w:rsid w:val="000B796F"/>
    <w:rsid w:val="000B7D5E"/>
    <w:rsid w:val="000B7E2A"/>
    <w:rsid w:val="000C0353"/>
    <w:rsid w:val="000C074C"/>
    <w:rsid w:val="000C0CA3"/>
    <w:rsid w:val="000C0CEC"/>
    <w:rsid w:val="000C0D3F"/>
    <w:rsid w:val="000C1206"/>
    <w:rsid w:val="000C1C35"/>
    <w:rsid w:val="000C22F2"/>
    <w:rsid w:val="000C2394"/>
    <w:rsid w:val="000C248A"/>
    <w:rsid w:val="000C29C0"/>
    <w:rsid w:val="000C2CAD"/>
    <w:rsid w:val="000C2DC9"/>
    <w:rsid w:val="000C39EB"/>
    <w:rsid w:val="000C3ADD"/>
    <w:rsid w:val="000C3BEC"/>
    <w:rsid w:val="000C40EA"/>
    <w:rsid w:val="000C45FF"/>
    <w:rsid w:val="000C4AE1"/>
    <w:rsid w:val="000C5807"/>
    <w:rsid w:val="000C6447"/>
    <w:rsid w:val="000C7530"/>
    <w:rsid w:val="000C75FB"/>
    <w:rsid w:val="000C7B6E"/>
    <w:rsid w:val="000D037E"/>
    <w:rsid w:val="000D0C91"/>
    <w:rsid w:val="000D0F9A"/>
    <w:rsid w:val="000D11B1"/>
    <w:rsid w:val="000D129C"/>
    <w:rsid w:val="000D148D"/>
    <w:rsid w:val="000D1570"/>
    <w:rsid w:val="000D1610"/>
    <w:rsid w:val="000D177D"/>
    <w:rsid w:val="000D183E"/>
    <w:rsid w:val="000D1842"/>
    <w:rsid w:val="000D1A08"/>
    <w:rsid w:val="000D1FEE"/>
    <w:rsid w:val="000D2920"/>
    <w:rsid w:val="000D2B6A"/>
    <w:rsid w:val="000D2E6D"/>
    <w:rsid w:val="000D3387"/>
    <w:rsid w:val="000D37FA"/>
    <w:rsid w:val="000D39FA"/>
    <w:rsid w:val="000D3D12"/>
    <w:rsid w:val="000D3E65"/>
    <w:rsid w:val="000D41F3"/>
    <w:rsid w:val="000D4324"/>
    <w:rsid w:val="000D4888"/>
    <w:rsid w:val="000D4BF6"/>
    <w:rsid w:val="000D4DE6"/>
    <w:rsid w:val="000D4E6F"/>
    <w:rsid w:val="000D528E"/>
    <w:rsid w:val="000D545C"/>
    <w:rsid w:val="000D545E"/>
    <w:rsid w:val="000D593E"/>
    <w:rsid w:val="000D5958"/>
    <w:rsid w:val="000D59D6"/>
    <w:rsid w:val="000D6ABA"/>
    <w:rsid w:val="000D6D1B"/>
    <w:rsid w:val="000D6E96"/>
    <w:rsid w:val="000D713C"/>
    <w:rsid w:val="000D7195"/>
    <w:rsid w:val="000D754C"/>
    <w:rsid w:val="000D7601"/>
    <w:rsid w:val="000D7630"/>
    <w:rsid w:val="000D7783"/>
    <w:rsid w:val="000D7D6B"/>
    <w:rsid w:val="000E011D"/>
    <w:rsid w:val="000E06CC"/>
    <w:rsid w:val="000E0B4F"/>
    <w:rsid w:val="000E0D53"/>
    <w:rsid w:val="000E14B9"/>
    <w:rsid w:val="000E1AC5"/>
    <w:rsid w:val="000E1CDC"/>
    <w:rsid w:val="000E1D03"/>
    <w:rsid w:val="000E1E8E"/>
    <w:rsid w:val="000E2079"/>
    <w:rsid w:val="000E2230"/>
    <w:rsid w:val="000E26B6"/>
    <w:rsid w:val="000E2BF3"/>
    <w:rsid w:val="000E2C13"/>
    <w:rsid w:val="000E39AE"/>
    <w:rsid w:val="000E3A02"/>
    <w:rsid w:val="000E3C1E"/>
    <w:rsid w:val="000E3DE7"/>
    <w:rsid w:val="000E3F84"/>
    <w:rsid w:val="000E49F9"/>
    <w:rsid w:val="000E4C9B"/>
    <w:rsid w:val="000E4D01"/>
    <w:rsid w:val="000E4F71"/>
    <w:rsid w:val="000E548A"/>
    <w:rsid w:val="000E5555"/>
    <w:rsid w:val="000E564D"/>
    <w:rsid w:val="000E5830"/>
    <w:rsid w:val="000E593B"/>
    <w:rsid w:val="000E59A2"/>
    <w:rsid w:val="000E5D68"/>
    <w:rsid w:val="000E64E9"/>
    <w:rsid w:val="000E65A7"/>
    <w:rsid w:val="000E6716"/>
    <w:rsid w:val="000E68F8"/>
    <w:rsid w:val="000E6D5F"/>
    <w:rsid w:val="000E6E01"/>
    <w:rsid w:val="000E6F62"/>
    <w:rsid w:val="000E76B5"/>
    <w:rsid w:val="000E78EF"/>
    <w:rsid w:val="000E7FB1"/>
    <w:rsid w:val="000F02E7"/>
    <w:rsid w:val="000F0CCA"/>
    <w:rsid w:val="000F1313"/>
    <w:rsid w:val="000F15E6"/>
    <w:rsid w:val="000F1BCA"/>
    <w:rsid w:val="000F1CF3"/>
    <w:rsid w:val="000F24A5"/>
    <w:rsid w:val="000F2944"/>
    <w:rsid w:val="000F2AD9"/>
    <w:rsid w:val="000F2B16"/>
    <w:rsid w:val="000F353A"/>
    <w:rsid w:val="000F395B"/>
    <w:rsid w:val="000F3F1E"/>
    <w:rsid w:val="000F4734"/>
    <w:rsid w:val="000F4AF0"/>
    <w:rsid w:val="000F4F44"/>
    <w:rsid w:val="000F5D34"/>
    <w:rsid w:val="000F6126"/>
    <w:rsid w:val="000F6974"/>
    <w:rsid w:val="000F6AFA"/>
    <w:rsid w:val="000F72F4"/>
    <w:rsid w:val="000F7452"/>
    <w:rsid w:val="000F794D"/>
    <w:rsid w:val="0010053A"/>
    <w:rsid w:val="00100C7B"/>
    <w:rsid w:val="00100DC6"/>
    <w:rsid w:val="00101098"/>
    <w:rsid w:val="00101489"/>
    <w:rsid w:val="00101ACE"/>
    <w:rsid w:val="00101CFB"/>
    <w:rsid w:val="00102147"/>
    <w:rsid w:val="00102292"/>
    <w:rsid w:val="00102678"/>
    <w:rsid w:val="00102FE9"/>
    <w:rsid w:val="00102FF8"/>
    <w:rsid w:val="0010306E"/>
    <w:rsid w:val="001030ED"/>
    <w:rsid w:val="001034EA"/>
    <w:rsid w:val="001036C7"/>
    <w:rsid w:val="00103BB0"/>
    <w:rsid w:val="00103E0E"/>
    <w:rsid w:val="00104058"/>
    <w:rsid w:val="0010405D"/>
    <w:rsid w:val="00104228"/>
    <w:rsid w:val="00104A80"/>
    <w:rsid w:val="00105820"/>
    <w:rsid w:val="00105CC7"/>
    <w:rsid w:val="00105CEE"/>
    <w:rsid w:val="00105FC2"/>
    <w:rsid w:val="001061EC"/>
    <w:rsid w:val="00106AA4"/>
    <w:rsid w:val="00106AD4"/>
    <w:rsid w:val="00106BD3"/>
    <w:rsid w:val="00106CC3"/>
    <w:rsid w:val="00106E7E"/>
    <w:rsid w:val="00107123"/>
    <w:rsid w:val="00107593"/>
    <w:rsid w:val="00107A94"/>
    <w:rsid w:val="00110030"/>
    <w:rsid w:val="00110086"/>
    <w:rsid w:val="0011051C"/>
    <w:rsid w:val="00110AE3"/>
    <w:rsid w:val="00111011"/>
    <w:rsid w:val="001115C0"/>
    <w:rsid w:val="001116ED"/>
    <w:rsid w:val="00111775"/>
    <w:rsid w:val="00111A41"/>
    <w:rsid w:val="00111AD9"/>
    <w:rsid w:val="00111D0D"/>
    <w:rsid w:val="001128EC"/>
    <w:rsid w:val="00112B8F"/>
    <w:rsid w:val="00112CFB"/>
    <w:rsid w:val="001134DA"/>
    <w:rsid w:val="0011357B"/>
    <w:rsid w:val="0011378C"/>
    <w:rsid w:val="00113876"/>
    <w:rsid w:val="00113AC0"/>
    <w:rsid w:val="001140FA"/>
    <w:rsid w:val="0011448B"/>
    <w:rsid w:val="001146A3"/>
    <w:rsid w:val="00114B8D"/>
    <w:rsid w:val="00114EA7"/>
    <w:rsid w:val="00115B96"/>
    <w:rsid w:val="00116B51"/>
    <w:rsid w:val="001172C5"/>
    <w:rsid w:val="00117957"/>
    <w:rsid w:val="00117A9B"/>
    <w:rsid w:val="00117C13"/>
    <w:rsid w:val="00120253"/>
    <w:rsid w:val="00120545"/>
    <w:rsid w:val="001206CF"/>
    <w:rsid w:val="001208AD"/>
    <w:rsid w:val="00120CAA"/>
    <w:rsid w:val="00121412"/>
    <w:rsid w:val="001218BF"/>
    <w:rsid w:val="001231F1"/>
    <w:rsid w:val="00123993"/>
    <w:rsid w:val="0012467D"/>
    <w:rsid w:val="00124A01"/>
    <w:rsid w:val="00124D4C"/>
    <w:rsid w:val="00125039"/>
    <w:rsid w:val="00125E9E"/>
    <w:rsid w:val="00126536"/>
    <w:rsid w:val="001267EE"/>
    <w:rsid w:val="00126E90"/>
    <w:rsid w:val="0012728C"/>
    <w:rsid w:val="00127299"/>
    <w:rsid w:val="001274A7"/>
    <w:rsid w:val="001274AC"/>
    <w:rsid w:val="001275E6"/>
    <w:rsid w:val="00127B6B"/>
    <w:rsid w:val="00127DD2"/>
    <w:rsid w:val="00127DE2"/>
    <w:rsid w:val="00130220"/>
    <w:rsid w:val="001310F5"/>
    <w:rsid w:val="00131875"/>
    <w:rsid w:val="00131A9A"/>
    <w:rsid w:val="00131AC6"/>
    <w:rsid w:val="00131BC1"/>
    <w:rsid w:val="00131F77"/>
    <w:rsid w:val="001322B0"/>
    <w:rsid w:val="00132917"/>
    <w:rsid w:val="00132FC1"/>
    <w:rsid w:val="00133991"/>
    <w:rsid w:val="0013399A"/>
    <w:rsid w:val="00133A1D"/>
    <w:rsid w:val="00133E5C"/>
    <w:rsid w:val="001344C1"/>
    <w:rsid w:val="0013486F"/>
    <w:rsid w:val="00134BBA"/>
    <w:rsid w:val="0013521B"/>
    <w:rsid w:val="0013565E"/>
    <w:rsid w:val="00135829"/>
    <w:rsid w:val="001358F4"/>
    <w:rsid w:val="00135911"/>
    <w:rsid w:val="00135E0A"/>
    <w:rsid w:val="00135E36"/>
    <w:rsid w:val="0013612A"/>
    <w:rsid w:val="00136359"/>
    <w:rsid w:val="00136AAD"/>
    <w:rsid w:val="00136EED"/>
    <w:rsid w:val="00137280"/>
    <w:rsid w:val="00137288"/>
    <w:rsid w:val="00137480"/>
    <w:rsid w:val="00137DBB"/>
    <w:rsid w:val="00140936"/>
    <w:rsid w:val="001410F1"/>
    <w:rsid w:val="001410FF"/>
    <w:rsid w:val="0014161D"/>
    <w:rsid w:val="001418FE"/>
    <w:rsid w:val="00142093"/>
    <w:rsid w:val="0014244B"/>
    <w:rsid w:val="00142D8B"/>
    <w:rsid w:val="00142E23"/>
    <w:rsid w:val="0014371C"/>
    <w:rsid w:val="001437AD"/>
    <w:rsid w:val="001437E3"/>
    <w:rsid w:val="001439E9"/>
    <w:rsid w:val="00143A51"/>
    <w:rsid w:val="00143FFE"/>
    <w:rsid w:val="0014452E"/>
    <w:rsid w:val="00144F22"/>
    <w:rsid w:val="00144F61"/>
    <w:rsid w:val="001453F8"/>
    <w:rsid w:val="001459EB"/>
    <w:rsid w:val="001461C2"/>
    <w:rsid w:val="00146E5E"/>
    <w:rsid w:val="00146FB7"/>
    <w:rsid w:val="0014719D"/>
    <w:rsid w:val="0014734D"/>
    <w:rsid w:val="00147983"/>
    <w:rsid w:val="00147B5F"/>
    <w:rsid w:val="00147D67"/>
    <w:rsid w:val="00147E88"/>
    <w:rsid w:val="00147ED7"/>
    <w:rsid w:val="001500FE"/>
    <w:rsid w:val="0015019F"/>
    <w:rsid w:val="00150616"/>
    <w:rsid w:val="00150DFD"/>
    <w:rsid w:val="0015128D"/>
    <w:rsid w:val="00151516"/>
    <w:rsid w:val="00151805"/>
    <w:rsid w:val="00151D5F"/>
    <w:rsid w:val="001523DA"/>
    <w:rsid w:val="001529E0"/>
    <w:rsid w:val="00152BA8"/>
    <w:rsid w:val="00153A6B"/>
    <w:rsid w:val="00153E38"/>
    <w:rsid w:val="001544AB"/>
    <w:rsid w:val="0015452C"/>
    <w:rsid w:val="001545A8"/>
    <w:rsid w:val="001548E4"/>
    <w:rsid w:val="00154BE2"/>
    <w:rsid w:val="00154F9D"/>
    <w:rsid w:val="0015505F"/>
    <w:rsid w:val="00155732"/>
    <w:rsid w:val="00155E24"/>
    <w:rsid w:val="001560ED"/>
    <w:rsid w:val="001562AD"/>
    <w:rsid w:val="001563F1"/>
    <w:rsid w:val="0015679A"/>
    <w:rsid w:val="00156DC5"/>
    <w:rsid w:val="00156E75"/>
    <w:rsid w:val="00156E79"/>
    <w:rsid w:val="001572A5"/>
    <w:rsid w:val="0015737A"/>
    <w:rsid w:val="00157847"/>
    <w:rsid w:val="00157E2F"/>
    <w:rsid w:val="001600A1"/>
    <w:rsid w:val="00160786"/>
    <w:rsid w:val="00160A67"/>
    <w:rsid w:val="00160E8F"/>
    <w:rsid w:val="00161397"/>
    <w:rsid w:val="0016193C"/>
    <w:rsid w:val="00161AEB"/>
    <w:rsid w:val="0016220E"/>
    <w:rsid w:val="00162262"/>
    <w:rsid w:val="00162BD5"/>
    <w:rsid w:val="00162DB2"/>
    <w:rsid w:val="00162F28"/>
    <w:rsid w:val="001630E4"/>
    <w:rsid w:val="00163804"/>
    <w:rsid w:val="001639BC"/>
    <w:rsid w:val="00163E5B"/>
    <w:rsid w:val="00163EEE"/>
    <w:rsid w:val="0016441C"/>
    <w:rsid w:val="0016465B"/>
    <w:rsid w:val="001647FA"/>
    <w:rsid w:val="00164887"/>
    <w:rsid w:val="00164A9B"/>
    <w:rsid w:val="00164D68"/>
    <w:rsid w:val="0016516F"/>
    <w:rsid w:val="00165C9B"/>
    <w:rsid w:val="00166868"/>
    <w:rsid w:val="001669CF"/>
    <w:rsid w:val="00166A9E"/>
    <w:rsid w:val="00167559"/>
    <w:rsid w:val="0016770A"/>
    <w:rsid w:val="00167717"/>
    <w:rsid w:val="00167857"/>
    <w:rsid w:val="00167C50"/>
    <w:rsid w:val="00167ECA"/>
    <w:rsid w:val="00170B3D"/>
    <w:rsid w:val="001714D0"/>
    <w:rsid w:val="00172029"/>
    <w:rsid w:val="00172414"/>
    <w:rsid w:val="001724E7"/>
    <w:rsid w:val="00172C20"/>
    <w:rsid w:val="00172CC2"/>
    <w:rsid w:val="00173440"/>
    <w:rsid w:val="00174495"/>
    <w:rsid w:val="001746E6"/>
    <w:rsid w:val="00174883"/>
    <w:rsid w:val="00174DDB"/>
    <w:rsid w:val="001752EC"/>
    <w:rsid w:val="001755CA"/>
    <w:rsid w:val="001757F3"/>
    <w:rsid w:val="00175891"/>
    <w:rsid w:val="001758E7"/>
    <w:rsid w:val="00175A9B"/>
    <w:rsid w:val="00175B5A"/>
    <w:rsid w:val="00175F12"/>
    <w:rsid w:val="00176740"/>
    <w:rsid w:val="00177A0D"/>
    <w:rsid w:val="00177D76"/>
    <w:rsid w:val="00177EBD"/>
    <w:rsid w:val="0018016C"/>
    <w:rsid w:val="001816E0"/>
    <w:rsid w:val="00181B3A"/>
    <w:rsid w:val="00181C29"/>
    <w:rsid w:val="001820B2"/>
    <w:rsid w:val="001828E0"/>
    <w:rsid w:val="00182A82"/>
    <w:rsid w:val="00182ED9"/>
    <w:rsid w:val="00183A98"/>
    <w:rsid w:val="00184C2E"/>
    <w:rsid w:val="0018509A"/>
    <w:rsid w:val="00185C53"/>
    <w:rsid w:val="00185E59"/>
    <w:rsid w:val="0018612A"/>
    <w:rsid w:val="0018660F"/>
    <w:rsid w:val="00186925"/>
    <w:rsid w:val="0018732B"/>
    <w:rsid w:val="00187F0B"/>
    <w:rsid w:val="00190193"/>
    <w:rsid w:val="001907C8"/>
    <w:rsid w:val="00190AEB"/>
    <w:rsid w:val="00191727"/>
    <w:rsid w:val="00191EBF"/>
    <w:rsid w:val="00191F2D"/>
    <w:rsid w:val="001925E5"/>
    <w:rsid w:val="0019266F"/>
    <w:rsid w:val="00192B4B"/>
    <w:rsid w:val="001934FD"/>
    <w:rsid w:val="00193B10"/>
    <w:rsid w:val="00193D91"/>
    <w:rsid w:val="0019403F"/>
    <w:rsid w:val="00194642"/>
    <w:rsid w:val="0019465E"/>
    <w:rsid w:val="0019564C"/>
    <w:rsid w:val="0019573B"/>
    <w:rsid w:val="00195F91"/>
    <w:rsid w:val="00196220"/>
    <w:rsid w:val="00196BDD"/>
    <w:rsid w:val="00196F9C"/>
    <w:rsid w:val="0019734F"/>
    <w:rsid w:val="0019777D"/>
    <w:rsid w:val="001977D0"/>
    <w:rsid w:val="00197FA7"/>
    <w:rsid w:val="001A019F"/>
    <w:rsid w:val="001A02FD"/>
    <w:rsid w:val="001A0303"/>
    <w:rsid w:val="001A0336"/>
    <w:rsid w:val="001A037C"/>
    <w:rsid w:val="001A067A"/>
    <w:rsid w:val="001A1BAD"/>
    <w:rsid w:val="001A282F"/>
    <w:rsid w:val="001A2A51"/>
    <w:rsid w:val="001A2C12"/>
    <w:rsid w:val="001A2ECD"/>
    <w:rsid w:val="001A36F2"/>
    <w:rsid w:val="001A3BAB"/>
    <w:rsid w:val="001A3BE8"/>
    <w:rsid w:val="001A3FA5"/>
    <w:rsid w:val="001A42B6"/>
    <w:rsid w:val="001A4334"/>
    <w:rsid w:val="001A4439"/>
    <w:rsid w:val="001A5550"/>
    <w:rsid w:val="001A5D6E"/>
    <w:rsid w:val="001A600A"/>
    <w:rsid w:val="001A64D7"/>
    <w:rsid w:val="001A65A6"/>
    <w:rsid w:val="001A669F"/>
    <w:rsid w:val="001A6EA1"/>
    <w:rsid w:val="001A729A"/>
    <w:rsid w:val="001A7326"/>
    <w:rsid w:val="001A751D"/>
    <w:rsid w:val="001A7697"/>
    <w:rsid w:val="001A76CF"/>
    <w:rsid w:val="001A76DF"/>
    <w:rsid w:val="001A7A57"/>
    <w:rsid w:val="001B00B2"/>
    <w:rsid w:val="001B023D"/>
    <w:rsid w:val="001B0257"/>
    <w:rsid w:val="001B06B1"/>
    <w:rsid w:val="001B0989"/>
    <w:rsid w:val="001B0D4A"/>
    <w:rsid w:val="001B1670"/>
    <w:rsid w:val="001B23B3"/>
    <w:rsid w:val="001B243E"/>
    <w:rsid w:val="001B2993"/>
    <w:rsid w:val="001B2A1F"/>
    <w:rsid w:val="001B2B4C"/>
    <w:rsid w:val="001B2DDB"/>
    <w:rsid w:val="001B34E4"/>
    <w:rsid w:val="001B364A"/>
    <w:rsid w:val="001B3A29"/>
    <w:rsid w:val="001B3D74"/>
    <w:rsid w:val="001B3F11"/>
    <w:rsid w:val="001B454C"/>
    <w:rsid w:val="001B4E04"/>
    <w:rsid w:val="001B4F43"/>
    <w:rsid w:val="001B5332"/>
    <w:rsid w:val="001B5F84"/>
    <w:rsid w:val="001B6D3D"/>
    <w:rsid w:val="001B6F41"/>
    <w:rsid w:val="001B70CF"/>
    <w:rsid w:val="001B7737"/>
    <w:rsid w:val="001B78D5"/>
    <w:rsid w:val="001B7AB3"/>
    <w:rsid w:val="001B7E97"/>
    <w:rsid w:val="001C0085"/>
    <w:rsid w:val="001C0402"/>
    <w:rsid w:val="001C063F"/>
    <w:rsid w:val="001C16A9"/>
    <w:rsid w:val="001C1CEA"/>
    <w:rsid w:val="001C1E53"/>
    <w:rsid w:val="001C2585"/>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06C"/>
    <w:rsid w:val="001C756B"/>
    <w:rsid w:val="001C7AF5"/>
    <w:rsid w:val="001C7B60"/>
    <w:rsid w:val="001C7F47"/>
    <w:rsid w:val="001D0147"/>
    <w:rsid w:val="001D0452"/>
    <w:rsid w:val="001D0A88"/>
    <w:rsid w:val="001D0F21"/>
    <w:rsid w:val="001D1258"/>
    <w:rsid w:val="001D1461"/>
    <w:rsid w:val="001D1465"/>
    <w:rsid w:val="001D1CFF"/>
    <w:rsid w:val="001D2017"/>
    <w:rsid w:val="001D214F"/>
    <w:rsid w:val="001D2E6C"/>
    <w:rsid w:val="001D333B"/>
    <w:rsid w:val="001D4F2A"/>
    <w:rsid w:val="001D506F"/>
    <w:rsid w:val="001D53F4"/>
    <w:rsid w:val="001D5436"/>
    <w:rsid w:val="001D5521"/>
    <w:rsid w:val="001D57BC"/>
    <w:rsid w:val="001D59DC"/>
    <w:rsid w:val="001D6300"/>
    <w:rsid w:val="001D6EEB"/>
    <w:rsid w:val="001D6F30"/>
    <w:rsid w:val="001D7260"/>
    <w:rsid w:val="001D7603"/>
    <w:rsid w:val="001D7816"/>
    <w:rsid w:val="001D784C"/>
    <w:rsid w:val="001D7890"/>
    <w:rsid w:val="001D7B45"/>
    <w:rsid w:val="001D7B96"/>
    <w:rsid w:val="001E0172"/>
    <w:rsid w:val="001E0F38"/>
    <w:rsid w:val="001E0F9D"/>
    <w:rsid w:val="001E16B0"/>
    <w:rsid w:val="001E17ED"/>
    <w:rsid w:val="001E1910"/>
    <w:rsid w:val="001E20CE"/>
    <w:rsid w:val="001E216A"/>
    <w:rsid w:val="001E220A"/>
    <w:rsid w:val="001E2419"/>
    <w:rsid w:val="001E24F9"/>
    <w:rsid w:val="001E2C1A"/>
    <w:rsid w:val="001E33EE"/>
    <w:rsid w:val="001E3536"/>
    <w:rsid w:val="001E359D"/>
    <w:rsid w:val="001E4075"/>
    <w:rsid w:val="001E420B"/>
    <w:rsid w:val="001E4704"/>
    <w:rsid w:val="001E4B22"/>
    <w:rsid w:val="001E52F1"/>
    <w:rsid w:val="001E57DC"/>
    <w:rsid w:val="001E5917"/>
    <w:rsid w:val="001E623D"/>
    <w:rsid w:val="001E6BD1"/>
    <w:rsid w:val="001E719A"/>
    <w:rsid w:val="001E71A9"/>
    <w:rsid w:val="001E734D"/>
    <w:rsid w:val="001E750C"/>
    <w:rsid w:val="001E76DB"/>
    <w:rsid w:val="001E7E30"/>
    <w:rsid w:val="001E7E3A"/>
    <w:rsid w:val="001F06FC"/>
    <w:rsid w:val="001F0BE6"/>
    <w:rsid w:val="001F0DDF"/>
    <w:rsid w:val="001F1174"/>
    <w:rsid w:val="001F144C"/>
    <w:rsid w:val="001F166C"/>
    <w:rsid w:val="001F16C5"/>
    <w:rsid w:val="001F1DFA"/>
    <w:rsid w:val="001F22A9"/>
    <w:rsid w:val="001F239D"/>
    <w:rsid w:val="001F2822"/>
    <w:rsid w:val="001F2ADC"/>
    <w:rsid w:val="001F2E08"/>
    <w:rsid w:val="001F2F77"/>
    <w:rsid w:val="001F329C"/>
    <w:rsid w:val="001F3838"/>
    <w:rsid w:val="001F3906"/>
    <w:rsid w:val="001F3944"/>
    <w:rsid w:val="001F3E56"/>
    <w:rsid w:val="001F41DE"/>
    <w:rsid w:val="001F44C4"/>
    <w:rsid w:val="001F49DB"/>
    <w:rsid w:val="001F4BB6"/>
    <w:rsid w:val="001F4BCC"/>
    <w:rsid w:val="001F5029"/>
    <w:rsid w:val="001F53A2"/>
    <w:rsid w:val="001F542E"/>
    <w:rsid w:val="001F558C"/>
    <w:rsid w:val="001F5A18"/>
    <w:rsid w:val="001F5B65"/>
    <w:rsid w:val="001F5BFA"/>
    <w:rsid w:val="001F5C95"/>
    <w:rsid w:val="001F5CEC"/>
    <w:rsid w:val="001F5E73"/>
    <w:rsid w:val="001F5ED8"/>
    <w:rsid w:val="001F6053"/>
    <w:rsid w:val="001F6380"/>
    <w:rsid w:val="001F6479"/>
    <w:rsid w:val="001F64CE"/>
    <w:rsid w:val="001F6A95"/>
    <w:rsid w:val="001F6AB3"/>
    <w:rsid w:val="001F6D33"/>
    <w:rsid w:val="001F6D81"/>
    <w:rsid w:val="001F6E62"/>
    <w:rsid w:val="001F6F15"/>
    <w:rsid w:val="001F6F53"/>
    <w:rsid w:val="001F7B45"/>
    <w:rsid w:val="0020032D"/>
    <w:rsid w:val="002003F3"/>
    <w:rsid w:val="002004E7"/>
    <w:rsid w:val="00200BF9"/>
    <w:rsid w:val="00201197"/>
    <w:rsid w:val="002015BA"/>
    <w:rsid w:val="002015E6"/>
    <w:rsid w:val="0020197C"/>
    <w:rsid w:val="00201AFC"/>
    <w:rsid w:val="00202561"/>
    <w:rsid w:val="0020293F"/>
    <w:rsid w:val="00202C3F"/>
    <w:rsid w:val="00202D9C"/>
    <w:rsid w:val="00203229"/>
    <w:rsid w:val="002034AA"/>
    <w:rsid w:val="002034DF"/>
    <w:rsid w:val="00203D16"/>
    <w:rsid w:val="00203E0F"/>
    <w:rsid w:val="0020468A"/>
    <w:rsid w:val="00204733"/>
    <w:rsid w:val="002047DE"/>
    <w:rsid w:val="002047DF"/>
    <w:rsid w:val="00204900"/>
    <w:rsid w:val="00204A5A"/>
    <w:rsid w:val="00204C07"/>
    <w:rsid w:val="00204F82"/>
    <w:rsid w:val="00205635"/>
    <w:rsid w:val="0020611F"/>
    <w:rsid w:val="00206246"/>
    <w:rsid w:val="002062A4"/>
    <w:rsid w:val="002063A7"/>
    <w:rsid w:val="0020675E"/>
    <w:rsid w:val="00206E5A"/>
    <w:rsid w:val="00207082"/>
    <w:rsid w:val="00207613"/>
    <w:rsid w:val="00207847"/>
    <w:rsid w:val="00207934"/>
    <w:rsid w:val="002102DC"/>
    <w:rsid w:val="00210301"/>
    <w:rsid w:val="0021045E"/>
    <w:rsid w:val="002104F0"/>
    <w:rsid w:val="002106D0"/>
    <w:rsid w:val="002106D1"/>
    <w:rsid w:val="00210812"/>
    <w:rsid w:val="00210A2E"/>
    <w:rsid w:val="00210B85"/>
    <w:rsid w:val="00210C91"/>
    <w:rsid w:val="002116CA"/>
    <w:rsid w:val="00211B4D"/>
    <w:rsid w:val="0021322B"/>
    <w:rsid w:val="00213C10"/>
    <w:rsid w:val="00213F4E"/>
    <w:rsid w:val="00213F9D"/>
    <w:rsid w:val="00214132"/>
    <w:rsid w:val="0021477B"/>
    <w:rsid w:val="0021481A"/>
    <w:rsid w:val="00214A23"/>
    <w:rsid w:val="00214A72"/>
    <w:rsid w:val="00214E0D"/>
    <w:rsid w:val="0021517F"/>
    <w:rsid w:val="0021597B"/>
    <w:rsid w:val="002159DE"/>
    <w:rsid w:val="002159F9"/>
    <w:rsid w:val="002165F9"/>
    <w:rsid w:val="00216685"/>
    <w:rsid w:val="00216B25"/>
    <w:rsid w:val="00216ED9"/>
    <w:rsid w:val="00217206"/>
    <w:rsid w:val="0021731E"/>
    <w:rsid w:val="00217441"/>
    <w:rsid w:val="002176ED"/>
    <w:rsid w:val="002179AC"/>
    <w:rsid w:val="00217EAA"/>
    <w:rsid w:val="002202EC"/>
    <w:rsid w:val="00220433"/>
    <w:rsid w:val="002209CD"/>
    <w:rsid w:val="002219CE"/>
    <w:rsid w:val="00221C5D"/>
    <w:rsid w:val="002225F3"/>
    <w:rsid w:val="002226B5"/>
    <w:rsid w:val="00222CB2"/>
    <w:rsid w:val="00222DEC"/>
    <w:rsid w:val="002230AA"/>
    <w:rsid w:val="0022312E"/>
    <w:rsid w:val="00223287"/>
    <w:rsid w:val="00223833"/>
    <w:rsid w:val="00223ACD"/>
    <w:rsid w:val="00223F20"/>
    <w:rsid w:val="00223FEB"/>
    <w:rsid w:val="0022425A"/>
    <w:rsid w:val="0022429B"/>
    <w:rsid w:val="0022496C"/>
    <w:rsid w:val="0022498E"/>
    <w:rsid w:val="00224C1F"/>
    <w:rsid w:val="00224C2D"/>
    <w:rsid w:val="00225B9A"/>
    <w:rsid w:val="00226460"/>
    <w:rsid w:val="0022657F"/>
    <w:rsid w:val="0022673A"/>
    <w:rsid w:val="00226945"/>
    <w:rsid w:val="00226BD3"/>
    <w:rsid w:val="002279D2"/>
    <w:rsid w:val="00227FF3"/>
    <w:rsid w:val="002304A8"/>
    <w:rsid w:val="00230814"/>
    <w:rsid w:val="00230867"/>
    <w:rsid w:val="002309A5"/>
    <w:rsid w:val="00230AD3"/>
    <w:rsid w:val="00230D88"/>
    <w:rsid w:val="002314BC"/>
    <w:rsid w:val="002314EE"/>
    <w:rsid w:val="00231A4A"/>
    <w:rsid w:val="00231C70"/>
    <w:rsid w:val="00231D67"/>
    <w:rsid w:val="00232320"/>
    <w:rsid w:val="0023270B"/>
    <w:rsid w:val="0023310A"/>
    <w:rsid w:val="00233127"/>
    <w:rsid w:val="00233A3F"/>
    <w:rsid w:val="00234034"/>
    <w:rsid w:val="00234F12"/>
    <w:rsid w:val="00235F2E"/>
    <w:rsid w:val="0023616F"/>
    <w:rsid w:val="002369CD"/>
    <w:rsid w:val="00236F0C"/>
    <w:rsid w:val="00236F71"/>
    <w:rsid w:val="00237779"/>
    <w:rsid w:val="00237A47"/>
    <w:rsid w:val="00237C25"/>
    <w:rsid w:val="00237D3F"/>
    <w:rsid w:val="00237E83"/>
    <w:rsid w:val="002400D6"/>
    <w:rsid w:val="002408A0"/>
    <w:rsid w:val="002409AA"/>
    <w:rsid w:val="002412AD"/>
    <w:rsid w:val="00241499"/>
    <w:rsid w:val="002416E8"/>
    <w:rsid w:val="00241A53"/>
    <w:rsid w:val="00242206"/>
    <w:rsid w:val="00242284"/>
    <w:rsid w:val="00242C9E"/>
    <w:rsid w:val="0024353D"/>
    <w:rsid w:val="0024399A"/>
    <w:rsid w:val="00243ACD"/>
    <w:rsid w:val="00243C93"/>
    <w:rsid w:val="0024445E"/>
    <w:rsid w:val="00244924"/>
    <w:rsid w:val="00244DF7"/>
    <w:rsid w:val="0024511F"/>
    <w:rsid w:val="00245492"/>
    <w:rsid w:val="00246619"/>
    <w:rsid w:val="0024661D"/>
    <w:rsid w:val="002467B6"/>
    <w:rsid w:val="002467DF"/>
    <w:rsid w:val="00246C52"/>
    <w:rsid w:val="0024718C"/>
    <w:rsid w:val="00247627"/>
    <w:rsid w:val="002477F4"/>
    <w:rsid w:val="00247CD9"/>
    <w:rsid w:val="00247DB2"/>
    <w:rsid w:val="00247E87"/>
    <w:rsid w:val="0025005C"/>
    <w:rsid w:val="00250170"/>
    <w:rsid w:val="002501AC"/>
    <w:rsid w:val="00250F29"/>
    <w:rsid w:val="002512A9"/>
    <w:rsid w:val="0025153E"/>
    <w:rsid w:val="0025169E"/>
    <w:rsid w:val="00251929"/>
    <w:rsid w:val="00251B60"/>
    <w:rsid w:val="00251F5E"/>
    <w:rsid w:val="00252C5E"/>
    <w:rsid w:val="002530D6"/>
    <w:rsid w:val="0025325D"/>
    <w:rsid w:val="00253400"/>
    <w:rsid w:val="00253545"/>
    <w:rsid w:val="002547A4"/>
    <w:rsid w:val="0025497B"/>
    <w:rsid w:val="00254E0D"/>
    <w:rsid w:val="002558D5"/>
    <w:rsid w:val="002562E9"/>
    <w:rsid w:val="00256B8F"/>
    <w:rsid w:val="002570BD"/>
    <w:rsid w:val="00257196"/>
    <w:rsid w:val="002579EA"/>
    <w:rsid w:val="00257A62"/>
    <w:rsid w:val="00257FDE"/>
    <w:rsid w:val="00260031"/>
    <w:rsid w:val="002604E2"/>
    <w:rsid w:val="0026057C"/>
    <w:rsid w:val="002605CB"/>
    <w:rsid w:val="0026075E"/>
    <w:rsid w:val="002607E0"/>
    <w:rsid w:val="00260998"/>
    <w:rsid w:val="002611FF"/>
    <w:rsid w:val="002613E9"/>
    <w:rsid w:val="00261474"/>
    <w:rsid w:val="0026181F"/>
    <w:rsid w:val="0026197E"/>
    <w:rsid w:val="00261D05"/>
    <w:rsid w:val="002620A1"/>
    <w:rsid w:val="00262664"/>
    <w:rsid w:val="00262830"/>
    <w:rsid w:val="00262952"/>
    <w:rsid w:val="00262E9F"/>
    <w:rsid w:val="00263230"/>
    <w:rsid w:val="002637B4"/>
    <w:rsid w:val="00263BC6"/>
    <w:rsid w:val="00263ED1"/>
    <w:rsid w:val="00263F9E"/>
    <w:rsid w:val="002644D5"/>
    <w:rsid w:val="00264B50"/>
    <w:rsid w:val="00264B84"/>
    <w:rsid w:val="00264F66"/>
    <w:rsid w:val="0026555F"/>
    <w:rsid w:val="00265701"/>
    <w:rsid w:val="00265718"/>
    <w:rsid w:val="00265996"/>
    <w:rsid w:val="00265A57"/>
    <w:rsid w:val="00265B7E"/>
    <w:rsid w:val="00266210"/>
    <w:rsid w:val="0026640D"/>
    <w:rsid w:val="00266411"/>
    <w:rsid w:val="0026716C"/>
    <w:rsid w:val="002671B7"/>
    <w:rsid w:val="002676D3"/>
    <w:rsid w:val="002676EA"/>
    <w:rsid w:val="00270087"/>
    <w:rsid w:val="00270392"/>
    <w:rsid w:val="00270B4E"/>
    <w:rsid w:val="00271C57"/>
    <w:rsid w:val="00271E39"/>
    <w:rsid w:val="002724AA"/>
    <w:rsid w:val="002727C8"/>
    <w:rsid w:val="00272FEB"/>
    <w:rsid w:val="002733D1"/>
    <w:rsid w:val="002738C9"/>
    <w:rsid w:val="00273B2D"/>
    <w:rsid w:val="00273CFB"/>
    <w:rsid w:val="002743D7"/>
    <w:rsid w:val="00274732"/>
    <w:rsid w:val="002756D5"/>
    <w:rsid w:val="0027598E"/>
    <w:rsid w:val="00275A04"/>
    <w:rsid w:val="00275AD2"/>
    <w:rsid w:val="00275F0F"/>
    <w:rsid w:val="00276AA1"/>
    <w:rsid w:val="00276E74"/>
    <w:rsid w:val="0027702F"/>
    <w:rsid w:val="0027723B"/>
    <w:rsid w:val="0027731D"/>
    <w:rsid w:val="00277E66"/>
    <w:rsid w:val="00277EB5"/>
    <w:rsid w:val="00277EC3"/>
    <w:rsid w:val="00277F86"/>
    <w:rsid w:val="002801E2"/>
    <w:rsid w:val="002804FB"/>
    <w:rsid w:val="00280746"/>
    <w:rsid w:val="00280B1C"/>
    <w:rsid w:val="002810C6"/>
    <w:rsid w:val="00281535"/>
    <w:rsid w:val="00282055"/>
    <w:rsid w:val="0028241B"/>
    <w:rsid w:val="00282566"/>
    <w:rsid w:val="00283CB6"/>
    <w:rsid w:val="002841AB"/>
    <w:rsid w:val="00284600"/>
    <w:rsid w:val="00284796"/>
    <w:rsid w:val="00284A06"/>
    <w:rsid w:val="00284B31"/>
    <w:rsid w:val="00285425"/>
    <w:rsid w:val="00285894"/>
    <w:rsid w:val="0028683B"/>
    <w:rsid w:val="00287376"/>
    <w:rsid w:val="00287C28"/>
    <w:rsid w:val="00287DA8"/>
    <w:rsid w:val="00287DC3"/>
    <w:rsid w:val="0029000D"/>
    <w:rsid w:val="00290202"/>
    <w:rsid w:val="0029048D"/>
    <w:rsid w:val="0029054A"/>
    <w:rsid w:val="00290E60"/>
    <w:rsid w:val="00290FDC"/>
    <w:rsid w:val="00290FFD"/>
    <w:rsid w:val="002916A7"/>
    <w:rsid w:val="0029186D"/>
    <w:rsid w:val="00291C52"/>
    <w:rsid w:val="00291D54"/>
    <w:rsid w:val="002923B9"/>
    <w:rsid w:val="00292BB7"/>
    <w:rsid w:val="00292C30"/>
    <w:rsid w:val="00292C77"/>
    <w:rsid w:val="00292CC6"/>
    <w:rsid w:val="0029308D"/>
    <w:rsid w:val="00293467"/>
    <w:rsid w:val="00293504"/>
    <w:rsid w:val="0029366E"/>
    <w:rsid w:val="002944CA"/>
    <w:rsid w:val="002949DE"/>
    <w:rsid w:val="0029592C"/>
    <w:rsid w:val="00295C43"/>
    <w:rsid w:val="0029639B"/>
    <w:rsid w:val="00296FD8"/>
    <w:rsid w:val="0029743A"/>
    <w:rsid w:val="00297695"/>
    <w:rsid w:val="00297B4F"/>
    <w:rsid w:val="00297DBE"/>
    <w:rsid w:val="00297E89"/>
    <w:rsid w:val="002A0724"/>
    <w:rsid w:val="002A07C1"/>
    <w:rsid w:val="002A0817"/>
    <w:rsid w:val="002A083B"/>
    <w:rsid w:val="002A08EC"/>
    <w:rsid w:val="002A1DF0"/>
    <w:rsid w:val="002A205B"/>
    <w:rsid w:val="002A3668"/>
    <w:rsid w:val="002A4011"/>
    <w:rsid w:val="002A53DF"/>
    <w:rsid w:val="002A681A"/>
    <w:rsid w:val="002A6DE0"/>
    <w:rsid w:val="002A6F5C"/>
    <w:rsid w:val="002A7187"/>
    <w:rsid w:val="002B03CD"/>
    <w:rsid w:val="002B07BF"/>
    <w:rsid w:val="002B0805"/>
    <w:rsid w:val="002B0DB1"/>
    <w:rsid w:val="002B0FD5"/>
    <w:rsid w:val="002B11A0"/>
    <w:rsid w:val="002B26D2"/>
    <w:rsid w:val="002B2C92"/>
    <w:rsid w:val="002B2D48"/>
    <w:rsid w:val="002B318B"/>
    <w:rsid w:val="002B3BD3"/>
    <w:rsid w:val="002B3C97"/>
    <w:rsid w:val="002B3D90"/>
    <w:rsid w:val="002B3F25"/>
    <w:rsid w:val="002B40CC"/>
    <w:rsid w:val="002B4549"/>
    <w:rsid w:val="002B475D"/>
    <w:rsid w:val="002B4B75"/>
    <w:rsid w:val="002B4FE2"/>
    <w:rsid w:val="002B53DB"/>
    <w:rsid w:val="002B5B82"/>
    <w:rsid w:val="002B7C8F"/>
    <w:rsid w:val="002B7FB1"/>
    <w:rsid w:val="002C0199"/>
    <w:rsid w:val="002C0364"/>
    <w:rsid w:val="002C0397"/>
    <w:rsid w:val="002C0779"/>
    <w:rsid w:val="002C0F87"/>
    <w:rsid w:val="002C138C"/>
    <w:rsid w:val="002C1821"/>
    <w:rsid w:val="002C203A"/>
    <w:rsid w:val="002C2FCD"/>
    <w:rsid w:val="002C36BB"/>
    <w:rsid w:val="002C3AE4"/>
    <w:rsid w:val="002C3FC0"/>
    <w:rsid w:val="002C4509"/>
    <w:rsid w:val="002C4749"/>
    <w:rsid w:val="002C4A9E"/>
    <w:rsid w:val="002C4CB7"/>
    <w:rsid w:val="002C4F71"/>
    <w:rsid w:val="002C559F"/>
    <w:rsid w:val="002C5620"/>
    <w:rsid w:val="002C59F7"/>
    <w:rsid w:val="002C61E0"/>
    <w:rsid w:val="002C6221"/>
    <w:rsid w:val="002C6374"/>
    <w:rsid w:val="002C7224"/>
    <w:rsid w:val="002C73A8"/>
    <w:rsid w:val="002C7B03"/>
    <w:rsid w:val="002D0217"/>
    <w:rsid w:val="002D0657"/>
    <w:rsid w:val="002D07CC"/>
    <w:rsid w:val="002D08DC"/>
    <w:rsid w:val="002D13B7"/>
    <w:rsid w:val="002D1D90"/>
    <w:rsid w:val="002D20FC"/>
    <w:rsid w:val="002D26FA"/>
    <w:rsid w:val="002D2804"/>
    <w:rsid w:val="002D2B4E"/>
    <w:rsid w:val="002D2EEC"/>
    <w:rsid w:val="002D33DE"/>
    <w:rsid w:val="002D41A4"/>
    <w:rsid w:val="002D4280"/>
    <w:rsid w:val="002D4366"/>
    <w:rsid w:val="002D4746"/>
    <w:rsid w:val="002D47AE"/>
    <w:rsid w:val="002D4B6D"/>
    <w:rsid w:val="002D4E37"/>
    <w:rsid w:val="002D52E0"/>
    <w:rsid w:val="002D5A7E"/>
    <w:rsid w:val="002D5A7F"/>
    <w:rsid w:val="002D68CF"/>
    <w:rsid w:val="002D7343"/>
    <w:rsid w:val="002E042F"/>
    <w:rsid w:val="002E0AC5"/>
    <w:rsid w:val="002E16BC"/>
    <w:rsid w:val="002E1946"/>
    <w:rsid w:val="002E1A18"/>
    <w:rsid w:val="002E2455"/>
    <w:rsid w:val="002E306D"/>
    <w:rsid w:val="002E3082"/>
    <w:rsid w:val="002E3661"/>
    <w:rsid w:val="002E3BFD"/>
    <w:rsid w:val="002E3E70"/>
    <w:rsid w:val="002E481B"/>
    <w:rsid w:val="002E499F"/>
    <w:rsid w:val="002E49E4"/>
    <w:rsid w:val="002E5057"/>
    <w:rsid w:val="002E53CF"/>
    <w:rsid w:val="002E545A"/>
    <w:rsid w:val="002E5691"/>
    <w:rsid w:val="002E58E1"/>
    <w:rsid w:val="002E5E09"/>
    <w:rsid w:val="002E60E3"/>
    <w:rsid w:val="002E62B6"/>
    <w:rsid w:val="002E65AE"/>
    <w:rsid w:val="002E6610"/>
    <w:rsid w:val="002E68A2"/>
    <w:rsid w:val="002E6C03"/>
    <w:rsid w:val="002F0045"/>
    <w:rsid w:val="002F025B"/>
    <w:rsid w:val="002F0590"/>
    <w:rsid w:val="002F0FB2"/>
    <w:rsid w:val="002F1E03"/>
    <w:rsid w:val="002F1FDA"/>
    <w:rsid w:val="002F2AE0"/>
    <w:rsid w:val="002F2FB7"/>
    <w:rsid w:val="002F302F"/>
    <w:rsid w:val="002F3827"/>
    <w:rsid w:val="002F3A9C"/>
    <w:rsid w:val="002F3D87"/>
    <w:rsid w:val="002F413F"/>
    <w:rsid w:val="002F416F"/>
    <w:rsid w:val="002F4203"/>
    <w:rsid w:val="002F4428"/>
    <w:rsid w:val="002F44AD"/>
    <w:rsid w:val="002F45D3"/>
    <w:rsid w:val="002F48C9"/>
    <w:rsid w:val="002F4EB1"/>
    <w:rsid w:val="002F572C"/>
    <w:rsid w:val="002F5A58"/>
    <w:rsid w:val="002F5C18"/>
    <w:rsid w:val="002F5FDA"/>
    <w:rsid w:val="002F6C58"/>
    <w:rsid w:val="002F7D48"/>
    <w:rsid w:val="002F7FDC"/>
    <w:rsid w:val="0030000D"/>
    <w:rsid w:val="00300126"/>
    <w:rsid w:val="003005AC"/>
    <w:rsid w:val="00300A26"/>
    <w:rsid w:val="003011C0"/>
    <w:rsid w:val="0030121F"/>
    <w:rsid w:val="003015EB"/>
    <w:rsid w:val="00301890"/>
    <w:rsid w:val="00301CEE"/>
    <w:rsid w:val="003022E0"/>
    <w:rsid w:val="003024DE"/>
    <w:rsid w:val="00302701"/>
    <w:rsid w:val="00302C47"/>
    <w:rsid w:val="00302E35"/>
    <w:rsid w:val="00303442"/>
    <w:rsid w:val="003044B9"/>
    <w:rsid w:val="00304FBA"/>
    <w:rsid w:val="003066DE"/>
    <w:rsid w:val="00306CB9"/>
    <w:rsid w:val="003073BB"/>
    <w:rsid w:val="00307683"/>
    <w:rsid w:val="00307B27"/>
    <w:rsid w:val="00307D3F"/>
    <w:rsid w:val="003100D3"/>
    <w:rsid w:val="0031013F"/>
    <w:rsid w:val="00310538"/>
    <w:rsid w:val="0031058E"/>
    <w:rsid w:val="00310896"/>
    <w:rsid w:val="00311195"/>
    <w:rsid w:val="00311941"/>
    <w:rsid w:val="00311C65"/>
    <w:rsid w:val="00311C6A"/>
    <w:rsid w:val="003123EA"/>
    <w:rsid w:val="003125FA"/>
    <w:rsid w:val="00312A86"/>
    <w:rsid w:val="003132B6"/>
    <w:rsid w:val="00313C4F"/>
    <w:rsid w:val="0031415D"/>
    <w:rsid w:val="00314280"/>
    <w:rsid w:val="0031461E"/>
    <w:rsid w:val="003151F9"/>
    <w:rsid w:val="003158FE"/>
    <w:rsid w:val="00315B87"/>
    <w:rsid w:val="00315DD9"/>
    <w:rsid w:val="0031632A"/>
    <w:rsid w:val="00316717"/>
    <w:rsid w:val="00316B7E"/>
    <w:rsid w:val="00316BE7"/>
    <w:rsid w:val="00317050"/>
    <w:rsid w:val="00320B56"/>
    <w:rsid w:val="00320E3D"/>
    <w:rsid w:val="00320E43"/>
    <w:rsid w:val="00320F94"/>
    <w:rsid w:val="00320FB2"/>
    <w:rsid w:val="00322766"/>
    <w:rsid w:val="003230B0"/>
    <w:rsid w:val="003238B6"/>
    <w:rsid w:val="003251D8"/>
    <w:rsid w:val="00325452"/>
    <w:rsid w:val="00325CC2"/>
    <w:rsid w:val="00325F5C"/>
    <w:rsid w:val="003261A6"/>
    <w:rsid w:val="003261C0"/>
    <w:rsid w:val="00326607"/>
    <w:rsid w:val="003268CF"/>
    <w:rsid w:val="00326974"/>
    <w:rsid w:val="00326EE5"/>
    <w:rsid w:val="00326F79"/>
    <w:rsid w:val="00327A0A"/>
    <w:rsid w:val="00327B01"/>
    <w:rsid w:val="00327E95"/>
    <w:rsid w:val="0033007D"/>
    <w:rsid w:val="0033027D"/>
    <w:rsid w:val="003308C4"/>
    <w:rsid w:val="00330BA5"/>
    <w:rsid w:val="00330DE8"/>
    <w:rsid w:val="00331EDC"/>
    <w:rsid w:val="00331F89"/>
    <w:rsid w:val="003323F3"/>
    <w:rsid w:val="0033306E"/>
    <w:rsid w:val="00333A7B"/>
    <w:rsid w:val="00333DC8"/>
    <w:rsid w:val="00333F96"/>
    <w:rsid w:val="00334905"/>
    <w:rsid w:val="00334C06"/>
    <w:rsid w:val="00335250"/>
    <w:rsid w:val="0033560A"/>
    <w:rsid w:val="0033592C"/>
    <w:rsid w:val="00335B9C"/>
    <w:rsid w:val="0033614D"/>
    <w:rsid w:val="00336164"/>
    <w:rsid w:val="00336EF6"/>
    <w:rsid w:val="0033732F"/>
    <w:rsid w:val="003378B8"/>
    <w:rsid w:val="00337EAF"/>
    <w:rsid w:val="0034150F"/>
    <w:rsid w:val="00342616"/>
    <w:rsid w:val="0034298C"/>
    <w:rsid w:val="00342B07"/>
    <w:rsid w:val="0034305B"/>
    <w:rsid w:val="0034359B"/>
    <w:rsid w:val="0034379F"/>
    <w:rsid w:val="0034384A"/>
    <w:rsid w:val="00343E84"/>
    <w:rsid w:val="003444EB"/>
    <w:rsid w:val="003444FC"/>
    <w:rsid w:val="00344778"/>
    <w:rsid w:val="00344BE2"/>
    <w:rsid w:val="00344F78"/>
    <w:rsid w:val="0034511B"/>
    <w:rsid w:val="003452D8"/>
    <w:rsid w:val="00345740"/>
    <w:rsid w:val="0034617A"/>
    <w:rsid w:val="00346FB4"/>
    <w:rsid w:val="00347606"/>
    <w:rsid w:val="00347BEA"/>
    <w:rsid w:val="00350266"/>
    <w:rsid w:val="003504EC"/>
    <w:rsid w:val="003509B5"/>
    <w:rsid w:val="00350EF6"/>
    <w:rsid w:val="00351118"/>
    <w:rsid w:val="0035244F"/>
    <w:rsid w:val="003528EA"/>
    <w:rsid w:val="00352CAE"/>
    <w:rsid w:val="00352DAE"/>
    <w:rsid w:val="00352E78"/>
    <w:rsid w:val="00353295"/>
    <w:rsid w:val="003532F9"/>
    <w:rsid w:val="00353932"/>
    <w:rsid w:val="003539B2"/>
    <w:rsid w:val="00353A56"/>
    <w:rsid w:val="00353D7D"/>
    <w:rsid w:val="0035414B"/>
    <w:rsid w:val="00354204"/>
    <w:rsid w:val="00354387"/>
    <w:rsid w:val="00354D13"/>
    <w:rsid w:val="00355449"/>
    <w:rsid w:val="003557B4"/>
    <w:rsid w:val="00355C3F"/>
    <w:rsid w:val="00355DD1"/>
    <w:rsid w:val="00356CEC"/>
    <w:rsid w:val="00357034"/>
    <w:rsid w:val="00357522"/>
    <w:rsid w:val="003576D7"/>
    <w:rsid w:val="00357712"/>
    <w:rsid w:val="003602CA"/>
    <w:rsid w:val="003606B4"/>
    <w:rsid w:val="003607F7"/>
    <w:rsid w:val="00360D4E"/>
    <w:rsid w:val="0036181B"/>
    <w:rsid w:val="0036185C"/>
    <w:rsid w:val="00361AFA"/>
    <w:rsid w:val="003625B6"/>
    <w:rsid w:val="00362C5A"/>
    <w:rsid w:val="00362FFF"/>
    <w:rsid w:val="00363B63"/>
    <w:rsid w:val="00363EB9"/>
    <w:rsid w:val="00363F95"/>
    <w:rsid w:val="00364283"/>
    <w:rsid w:val="003643CE"/>
    <w:rsid w:val="0036453A"/>
    <w:rsid w:val="00364603"/>
    <w:rsid w:val="00364A97"/>
    <w:rsid w:val="00364C7A"/>
    <w:rsid w:val="003657FA"/>
    <w:rsid w:val="00365872"/>
    <w:rsid w:val="0036641B"/>
    <w:rsid w:val="00366840"/>
    <w:rsid w:val="003670A6"/>
    <w:rsid w:val="00367CE6"/>
    <w:rsid w:val="00370042"/>
    <w:rsid w:val="00370285"/>
    <w:rsid w:val="003703C5"/>
    <w:rsid w:val="00370409"/>
    <w:rsid w:val="003706E7"/>
    <w:rsid w:val="00370EFD"/>
    <w:rsid w:val="00370F8A"/>
    <w:rsid w:val="00371338"/>
    <w:rsid w:val="0037164C"/>
    <w:rsid w:val="003719F5"/>
    <w:rsid w:val="00372445"/>
    <w:rsid w:val="00372469"/>
    <w:rsid w:val="00372A6B"/>
    <w:rsid w:val="003732E2"/>
    <w:rsid w:val="003741D2"/>
    <w:rsid w:val="003746D3"/>
    <w:rsid w:val="00374804"/>
    <w:rsid w:val="00374A61"/>
    <w:rsid w:val="00374C8F"/>
    <w:rsid w:val="00374F06"/>
    <w:rsid w:val="003752EA"/>
    <w:rsid w:val="003753F7"/>
    <w:rsid w:val="00375BD2"/>
    <w:rsid w:val="003762D5"/>
    <w:rsid w:val="003764FA"/>
    <w:rsid w:val="00376A34"/>
    <w:rsid w:val="00376AD6"/>
    <w:rsid w:val="00376C0D"/>
    <w:rsid w:val="0037709A"/>
    <w:rsid w:val="003773C7"/>
    <w:rsid w:val="00377569"/>
    <w:rsid w:val="00377A68"/>
    <w:rsid w:val="00377CE8"/>
    <w:rsid w:val="00380051"/>
    <w:rsid w:val="0038035C"/>
    <w:rsid w:val="00380DBB"/>
    <w:rsid w:val="00380E93"/>
    <w:rsid w:val="003810EA"/>
    <w:rsid w:val="003811F7"/>
    <w:rsid w:val="0038137A"/>
    <w:rsid w:val="0038166A"/>
    <w:rsid w:val="0038187D"/>
    <w:rsid w:val="003821E7"/>
    <w:rsid w:val="003825E5"/>
    <w:rsid w:val="00382B96"/>
    <w:rsid w:val="00383130"/>
    <w:rsid w:val="003836EB"/>
    <w:rsid w:val="003837D5"/>
    <w:rsid w:val="00383D4B"/>
    <w:rsid w:val="003848D9"/>
    <w:rsid w:val="00385BA0"/>
    <w:rsid w:val="00385C1A"/>
    <w:rsid w:val="00385DBB"/>
    <w:rsid w:val="00385F2C"/>
    <w:rsid w:val="00386628"/>
    <w:rsid w:val="003866E3"/>
    <w:rsid w:val="00386A2E"/>
    <w:rsid w:val="00386B71"/>
    <w:rsid w:val="003871D9"/>
    <w:rsid w:val="003874A8"/>
    <w:rsid w:val="00387771"/>
    <w:rsid w:val="00387B4D"/>
    <w:rsid w:val="00387C45"/>
    <w:rsid w:val="0039008F"/>
    <w:rsid w:val="003901C0"/>
    <w:rsid w:val="003908C2"/>
    <w:rsid w:val="00390C10"/>
    <w:rsid w:val="00390D11"/>
    <w:rsid w:val="003911FB"/>
    <w:rsid w:val="0039178D"/>
    <w:rsid w:val="0039228D"/>
    <w:rsid w:val="00392C0A"/>
    <w:rsid w:val="00393367"/>
    <w:rsid w:val="00393B78"/>
    <w:rsid w:val="00393B7F"/>
    <w:rsid w:val="003942A4"/>
    <w:rsid w:val="00394E4F"/>
    <w:rsid w:val="003959A9"/>
    <w:rsid w:val="00395A86"/>
    <w:rsid w:val="00395F8B"/>
    <w:rsid w:val="0039665F"/>
    <w:rsid w:val="00396D81"/>
    <w:rsid w:val="00397D34"/>
    <w:rsid w:val="003A0306"/>
    <w:rsid w:val="003A0311"/>
    <w:rsid w:val="003A0AA9"/>
    <w:rsid w:val="003A0F88"/>
    <w:rsid w:val="003A11A1"/>
    <w:rsid w:val="003A12CF"/>
    <w:rsid w:val="003A12D5"/>
    <w:rsid w:val="003A1341"/>
    <w:rsid w:val="003A1566"/>
    <w:rsid w:val="003A16FE"/>
    <w:rsid w:val="003A1747"/>
    <w:rsid w:val="003A19E0"/>
    <w:rsid w:val="003A1C4F"/>
    <w:rsid w:val="003A1DD5"/>
    <w:rsid w:val="003A2055"/>
    <w:rsid w:val="003A336B"/>
    <w:rsid w:val="003A41B3"/>
    <w:rsid w:val="003A41E6"/>
    <w:rsid w:val="003A42BB"/>
    <w:rsid w:val="003A44F2"/>
    <w:rsid w:val="003A4A7E"/>
    <w:rsid w:val="003A5125"/>
    <w:rsid w:val="003A590E"/>
    <w:rsid w:val="003A5CA5"/>
    <w:rsid w:val="003A6D8E"/>
    <w:rsid w:val="003A6DB0"/>
    <w:rsid w:val="003A6F51"/>
    <w:rsid w:val="003A7789"/>
    <w:rsid w:val="003A7989"/>
    <w:rsid w:val="003A7C19"/>
    <w:rsid w:val="003A7DD6"/>
    <w:rsid w:val="003A7F5E"/>
    <w:rsid w:val="003B0485"/>
    <w:rsid w:val="003B0B4D"/>
    <w:rsid w:val="003B0DA8"/>
    <w:rsid w:val="003B0E74"/>
    <w:rsid w:val="003B1041"/>
    <w:rsid w:val="003B172C"/>
    <w:rsid w:val="003B1E67"/>
    <w:rsid w:val="003B1E84"/>
    <w:rsid w:val="003B2025"/>
    <w:rsid w:val="003B2062"/>
    <w:rsid w:val="003B2360"/>
    <w:rsid w:val="003B335B"/>
    <w:rsid w:val="003B3481"/>
    <w:rsid w:val="003B3F9B"/>
    <w:rsid w:val="003B47B7"/>
    <w:rsid w:val="003B4B69"/>
    <w:rsid w:val="003B4FDE"/>
    <w:rsid w:val="003B5051"/>
    <w:rsid w:val="003B527C"/>
    <w:rsid w:val="003B570F"/>
    <w:rsid w:val="003B5BA9"/>
    <w:rsid w:val="003B5E30"/>
    <w:rsid w:val="003B6256"/>
    <w:rsid w:val="003B640C"/>
    <w:rsid w:val="003B6A38"/>
    <w:rsid w:val="003B6AAC"/>
    <w:rsid w:val="003B6FCB"/>
    <w:rsid w:val="003B7254"/>
    <w:rsid w:val="003C00D9"/>
    <w:rsid w:val="003C048D"/>
    <w:rsid w:val="003C0AA5"/>
    <w:rsid w:val="003C0FB1"/>
    <w:rsid w:val="003C150C"/>
    <w:rsid w:val="003C151A"/>
    <w:rsid w:val="003C1734"/>
    <w:rsid w:val="003C1C06"/>
    <w:rsid w:val="003C1F75"/>
    <w:rsid w:val="003C23C3"/>
    <w:rsid w:val="003C28E6"/>
    <w:rsid w:val="003C28F2"/>
    <w:rsid w:val="003C4B38"/>
    <w:rsid w:val="003C4CE8"/>
    <w:rsid w:val="003C4DFD"/>
    <w:rsid w:val="003C4F25"/>
    <w:rsid w:val="003C5113"/>
    <w:rsid w:val="003C5399"/>
    <w:rsid w:val="003C5FE4"/>
    <w:rsid w:val="003C6E9F"/>
    <w:rsid w:val="003C6EA8"/>
    <w:rsid w:val="003C753A"/>
    <w:rsid w:val="003C77CE"/>
    <w:rsid w:val="003C7CE7"/>
    <w:rsid w:val="003C7EE4"/>
    <w:rsid w:val="003D0246"/>
    <w:rsid w:val="003D02D2"/>
    <w:rsid w:val="003D0427"/>
    <w:rsid w:val="003D09DA"/>
    <w:rsid w:val="003D0A1E"/>
    <w:rsid w:val="003D12AF"/>
    <w:rsid w:val="003D132A"/>
    <w:rsid w:val="003D2339"/>
    <w:rsid w:val="003D26AA"/>
    <w:rsid w:val="003D2AE5"/>
    <w:rsid w:val="003D35CB"/>
    <w:rsid w:val="003D3C11"/>
    <w:rsid w:val="003D40BA"/>
    <w:rsid w:val="003D413E"/>
    <w:rsid w:val="003D4350"/>
    <w:rsid w:val="003D4409"/>
    <w:rsid w:val="003D4A54"/>
    <w:rsid w:val="003D5530"/>
    <w:rsid w:val="003D5717"/>
    <w:rsid w:val="003D5B80"/>
    <w:rsid w:val="003D5D01"/>
    <w:rsid w:val="003D5D96"/>
    <w:rsid w:val="003D6678"/>
    <w:rsid w:val="003D676A"/>
    <w:rsid w:val="003D6873"/>
    <w:rsid w:val="003D68E7"/>
    <w:rsid w:val="003D7079"/>
    <w:rsid w:val="003D7BB5"/>
    <w:rsid w:val="003D7FB8"/>
    <w:rsid w:val="003E0CE4"/>
    <w:rsid w:val="003E0E0D"/>
    <w:rsid w:val="003E15BE"/>
    <w:rsid w:val="003E1966"/>
    <w:rsid w:val="003E1CF4"/>
    <w:rsid w:val="003E2278"/>
    <w:rsid w:val="003E2489"/>
    <w:rsid w:val="003E29F9"/>
    <w:rsid w:val="003E2FAF"/>
    <w:rsid w:val="003E3524"/>
    <w:rsid w:val="003E35C3"/>
    <w:rsid w:val="003E39F9"/>
    <w:rsid w:val="003E3B02"/>
    <w:rsid w:val="003E46DB"/>
    <w:rsid w:val="003E4A86"/>
    <w:rsid w:val="003E4CDB"/>
    <w:rsid w:val="003E5467"/>
    <w:rsid w:val="003E5505"/>
    <w:rsid w:val="003E6050"/>
    <w:rsid w:val="003E6592"/>
    <w:rsid w:val="003E6B0B"/>
    <w:rsid w:val="003F01E7"/>
    <w:rsid w:val="003F01FD"/>
    <w:rsid w:val="003F0349"/>
    <w:rsid w:val="003F0656"/>
    <w:rsid w:val="003F074F"/>
    <w:rsid w:val="003F0780"/>
    <w:rsid w:val="003F0EBC"/>
    <w:rsid w:val="003F1133"/>
    <w:rsid w:val="003F1439"/>
    <w:rsid w:val="003F14B7"/>
    <w:rsid w:val="003F1673"/>
    <w:rsid w:val="003F2034"/>
    <w:rsid w:val="003F2244"/>
    <w:rsid w:val="003F23B6"/>
    <w:rsid w:val="003F25FF"/>
    <w:rsid w:val="003F2624"/>
    <w:rsid w:val="003F2711"/>
    <w:rsid w:val="003F295E"/>
    <w:rsid w:val="003F34A4"/>
    <w:rsid w:val="003F3630"/>
    <w:rsid w:val="003F393D"/>
    <w:rsid w:val="003F3978"/>
    <w:rsid w:val="003F3B26"/>
    <w:rsid w:val="003F44EC"/>
    <w:rsid w:val="003F4933"/>
    <w:rsid w:val="003F536B"/>
    <w:rsid w:val="003F586D"/>
    <w:rsid w:val="003F5F13"/>
    <w:rsid w:val="003F63A9"/>
    <w:rsid w:val="003F66B8"/>
    <w:rsid w:val="003F6853"/>
    <w:rsid w:val="003F6ADF"/>
    <w:rsid w:val="003F6BA9"/>
    <w:rsid w:val="003F6D17"/>
    <w:rsid w:val="003F75CA"/>
    <w:rsid w:val="003F7984"/>
    <w:rsid w:val="003F7BEE"/>
    <w:rsid w:val="003F7DFF"/>
    <w:rsid w:val="0040042A"/>
    <w:rsid w:val="004009C5"/>
    <w:rsid w:val="00400E97"/>
    <w:rsid w:val="00401DAB"/>
    <w:rsid w:val="0040206C"/>
    <w:rsid w:val="004024AB"/>
    <w:rsid w:val="0040303D"/>
    <w:rsid w:val="0040330F"/>
    <w:rsid w:val="0040379F"/>
    <w:rsid w:val="00403883"/>
    <w:rsid w:val="00403F25"/>
    <w:rsid w:val="00404024"/>
    <w:rsid w:val="004041B2"/>
    <w:rsid w:val="004041BC"/>
    <w:rsid w:val="004055EE"/>
    <w:rsid w:val="00405EFB"/>
    <w:rsid w:val="0040689B"/>
    <w:rsid w:val="00406F4B"/>
    <w:rsid w:val="004070DF"/>
    <w:rsid w:val="004073B0"/>
    <w:rsid w:val="004073E5"/>
    <w:rsid w:val="004106E7"/>
    <w:rsid w:val="0041093B"/>
    <w:rsid w:val="00410BB2"/>
    <w:rsid w:val="00410BEC"/>
    <w:rsid w:val="004111BE"/>
    <w:rsid w:val="00411E26"/>
    <w:rsid w:val="00412440"/>
    <w:rsid w:val="004127B4"/>
    <w:rsid w:val="0041282C"/>
    <w:rsid w:val="00412A92"/>
    <w:rsid w:val="004131B5"/>
    <w:rsid w:val="004132DA"/>
    <w:rsid w:val="004133C7"/>
    <w:rsid w:val="004141A0"/>
    <w:rsid w:val="00414587"/>
    <w:rsid w:val="0041469F"/>
    <w:rsid w:val="004146D6"/>
    <w:rsid w:val="004148F6"/>
    <w:rsid w:val="0041524C"/>
    <w:rsid w:val="00415A14"/>
    <w:rsid w:val="0041616C"/>
    <w:rsid w:val="004161BC"/>
    <w:rsid w:val="0041673A"/>
    <w:rsid w:val="00416A66"/>
    <w:rsid w:val="00417232"/>
    <w:rsid w:val="0041793D"/>
    <w:rsid w:val="004179D9"/>
    <w:rsid w:val="004201DE"/>
    <w:rsid w:val="00420CB7"/>
    <w:rsid w:val="0042156E"/>
    <w:rsid w:val="00422062"/>
    <w:rsid w:val="0042221A"/>
    <w:rsid w:val="004222BC"/>
    <w:rsid w:val="00422858"/>
    <w:rsid w:val="00422A10"/>
    <w:rsid w:val="00422F31"/>
    <w:rsid w:val="004236EC"/>
    <w:rsid w:val="004240C7"/>
    <w:rsid w:val="004243CC"/>
    <w:rsid w:val="004244C5"/>
    <w:rsid w:val="00424514"/>
    <w:rsid w:val="00424B5E"/>
    <w:rsid w:val="00424EF7"/>
    <w:rsid w:val="0042562F"/>
    <w:rsid w:val="00425889"/>
    <w:rsid w:val="00425966"/>
    <w:rsid w:val="004259A2"/>
    <w:rsid w:val="00425C97"/>
    <w:rsid w:val="00425F7F"/>
    <w:rsid w:val="00426034"/>
    <w:rsid w:val="00426319"/>
    <w:rsid w:val="0042654A"/>
    <w:rsid w:val="00426761"/>
    <w:rsid w:val="00426AA7"/>
    <w:rsid w:val="00427478"/>
    <w:rsid w:val="004276E3"/>
    <w:rsid w:val="0042795C"/>
    <w:rsid w:val="00427A09"/>
    <w:rsid w:val="00427A9E"/>
    <w:rsid w:val="00427E67"/>
    <w:rsid w:val="00430178"/>
    <w:rsid w:val="0043024F"/>
    <w:rsid w:val="00430250"/>
    <w:rsid w:val="004309F8"/>
    <w:rsid w:val="00430B66"/>
    <w:rsid w:val="00431172"/>
    <w:rsid w:val="0043148C"/>
    <w:rsid w:val="00431843"/>
    <w:rsid w:val="00431E18"/>
    <w:rsid w:val="0043270B"/>
    <w:rsid w:val="00432E20"/>
    <w:rsid w:val="00432F8F"/>
    <w:rsid w:val="00433CC7"/>
    <w:rsid w:val="00434242"/>
    <w:rsid w:val="0043424B"/>
    <w:rsid w:val="0043480E"/>
    <w:rsid w:val="00435023"/>
    <w:rsid w:val="004355EB"/>
    <w:rsid w:val="004355ED"/>
    <w:rsid w:val="00435602"/>
    <w:rsid w:val="00435635"/>
    <w:rsid w:val="004356FA"/>
    <w:rsid w:val="0043581C"/>
    <w:rsid w:val="00435A68"/>
    <w:rsid w:val="00435ACF"/>
    <w:rsid w:val="00435B33"/>
    <w:rsid w:val="00435BD2"/>
    <w:rsid w:val="00435CCF"/>
    <w:rsid w:val="00435DE8"/>
    <w:rsid w:val="0043600F"/>
    <w:rsid w:val="00436419"/>
    <w:rsid w:val="004365C5"/>
    <w:rsid w:val="004370F5"/>
    <w:rsid w:val="00437179"/>
    <w:rsid w:val="004371AB"/>
    <w:rsid w:val="004377F9"/>
    <w:rsid w:val="00437F79"/>
    <w:rsid w:val="0044035D"/>
    <w:rsid w:val="004410E3"/>
    <w:rsid w:val="004415FA"/>
    <w:rsid w:val="0044166C"/>
    <w:rsid w:val="004418B3"/>
    <w:rsid w:val="00441B21"/>
    <w:rsid w:val="00441FE8"/>
    <w:rsid w:val="00442856"/>
    <w:rsid w:val="00442AF0"/>
    <w:rsid w:val="00442E9F"/>
    <w:rsid w:val="00442EFD"/>
    <w:rsid w:val="004430FD"/>
    <w:rsid w:val="00443D9E"/>
    <w:rsid w:val="00443DFB"/>
    <w:rsid w:val="004442A7"/>
    <w:rsid w:val="00444D83"/>
    <w:rsid w:val="00444E09"/>
    <w:rsid w:val="00444F64"/>
    <w:rsid w:val="004450CE"/>
    <w:rsid w:val="00445513"/>
    <w:rsid w:val="00445ABA"/>
    <w:rsid w:val="00445CBF"/>
    <w:rsid w:val="00445CFF"/>
    <w:rsid w:val="00445D83"/>
    <w:rsid w:val="004462AF"/>
    <w:rsid w:val="00446D2B"/>
    <w:rsid w:val="004472CF"/>
    <w:rsid w:val="00450D3B"/>
    <w:rsid w:val="00450D54"/>
    <w:rsid w:val="00450E4C"/>
    <w:rsid w:val="00451547"/>
    <w:rsid w:val="004518D5"/>
    <w:rsid w:val="00451AED"/>
    <w:rsid w:val="00451B17"/>
    <w:rsid w:val="00451BEB"/>
    <w:rsid w:val="00451E3C"/>
    <w:rsid w:val="004520A8"/>
    <w:rsid w:val="00452891"/>
    <w:rsid w:val="00452A5B"/>
    <w:rsid w:val="00453DEF"/>
    <w:rsid w:val="004543E4"/>
    <w:rsid w:val="004548E5"/>
    <w:rsid w:val="00454B98"/>
    <w:rsid w:val="00454C6A"/>
    <w:rsid w:val="00455B39"/>
    <w:rsid w:val="00455D43"/>
    <w:rsid w:val="00455F4C"/>
    <w:rsid w:val="00456114"/>
    <w:rsid w:val="004562F8"/>
    <w:rsid w:val="00456971"/>
    <w:rsid w:val="00456E3C"/>
    <w:rsid w:val="0045742D"/>
    <w:rsid w:val="004574AB"/>
    <w:rsid w:val="00457CBD"/>
    <w:rsid w:val="00457F85"/>
    <w:rsid w:val="0046027A"/>
    <w:rsid w:val="004605C4"/>
    <w:rsid w:val="004605F3"/>
    <w:rsid w:val="004607CD"/>
    <w:rsid w:val="004608A9"/>
    <w:rsid w:val="00460914"/>
    <w:rsid w:val="00460958"/>
    <w:rsid w:val="00460FB8"/>
    <w:rsid w:val="0046110A"/>
    <w:rsid w:val="004612C8"/>
    <w:rsid w:val="004616E5"/>
    <w:rsid w:val="0046194F"/>
    <w:rsid w:val="00461B3E"/>
    <w:rsid w:val="00461BA8"/>
    <w:rsid w:val="00461E80"/>
    <w:rsid w:val="004622D8"/>
    <w:rsid w:val="00462420"/>
    <w:rsid w:val="0046242E"/>
    <w:rsid w:val="00462687"/>
    <w:rsid w:val="00462984"/>
    <w:rsid w:val="00463146"/>
    <w:rsid w:val="0046359C"/>
    <w:rsid w:val="00463916"/>
    <w:rsid w:val="0046397B"/>
    <w:rsid w:val="0046412F"/>
    <w:rsid w:val="004641FE"/>
    <w:rsid w:val="0046434B"/>
    <w:rsid w:val="00464822"/>
    <w:rsid w:val="00464D13"/>
    <w:rsid w:val="00465573"/>
    <w:rsid w:val="00465812"/>
    <w:rsid w:val="00465FF9"/>
    <w:rsid w:val="0046649C"/>
    <w:rsid w:val="00466B94"/>
    <w:rsid w:val="00466C2D"/>
    <w:rsid w:val="004670B3"/>
    <w:rsid w:val="00467A56"/>
    <w:rsid w:val="00467B21"/>
    <w:rsid w:val="00470325"/>
    <w:rsid w:val="00470557"/>
    <w:rsid w:val="00470750"/>
    <w:rsid w:val="004707FD"/>
    <w:rsid w:val="00470859"/>
    <w:rsid w:val="00471856"/>
    <w:rsid w:val="004729F6"/>
    <w:rsid w:val="00472A81"/>
    <w:rsid w:val="00472D98"/>
    <w:rsid w:val="0047343E"/>
    <w:rsid w:val="00473779"/>
    <w:rsid w:val="00473839"/>
    <w:rsid w:val="00473AD0"/>
    <w:rsid w:val="0047400A"/>
    <w:rsid w:val="0047434F"/>
    <w:rsid w:val="004743E2"/>
    <w:rsid w:val="00474B34"/>
    <w:rsid w:val="00474FC9"/>
    <w:rsid w:val="004751C3"/>
    <w:rsid w:val="00475260"/>
    <w:rsid w:val="00475596"/>
    <w:rsid w:val="004759AD"/>
    <w:rsid w:val="00475E16"/>
    <w:rsid w:val="00476D8B"/>
    <w:rsid w:val="0047703F"/>
    <w:rsid w:val="004770F2"/>
    <w:rsid w:val="0047765A"/>
    <w:rsid w:val="0047786D"/>
    <w:rsid w:val="004778D4"/>
    <w:rsid w:val="00477C3D"/>
    <w:rsid w:val="00477F13"/>
    <w:rsid w:val="00477FF7"/>
    <w:rsid w:val="00480F17"/>
    <w:rsid w:val="004813F5"/>
    <w:rsid w:val="00481567"/>
    <w:rsid w:val="00481607"/>
    <w:rsid w:val="004816BD"/>
    <w:rsid w:val="0048170D"/>
    <w:rsid w:val="00482CC3"/>
    <w:rsid w:val="004836CF"/>
    <w:rsid w:val="00483D11"/>
    <w:rsid w:val="00483D84"/>
    <w:rsid w:val="0048406D"/>
    <w:rsid w:val="0048415F"/>
    <w:rsid w:val="00484498"/>
    <w:rsid w:val="00484C46"/>
    <w:rsid w:val="004852FA"/>
    <w:rsid w:val="00485684"/>
    <w:rsid w:val="00485759"/>
    <w:rsid w:val="00485D90"/>
    <w:rsid w:val="00485E8A"/>
    <w:rsid w:val="00485E94"/>
    <w:rsid w:val="00486030"/>
    <w:rsid w:val="004860F5"/>
    <w:rsid w:val="00486EEB"/>
    <w:rsid w:val="0048729C"/>
    <w:rsid w:val="00487434"/>
    <w:rsid w:val="0048773C"/>
    <w:rsid w:val="00487778"/>
    <w:rsid w:val="004877AA"/>
    <w:rsid w:val="00487852"/>
    <w:rsid w:val="004878AC"/>
    <w:rsid w:val="00487C42"/>
    <w:rsid w:val="00490165"/>
    <w:rsid w:val="00490405"/>
    <w:rsid w:val="0049055A"/>
    <w:rsid w:val="00490649"/>
    <w:rsid w:val="0049108E"/>
    <w:rsid w:val="0049132D"/>
    <w:rsid w:val="00491560"/>
    <w:rsid w:val="0049194F"/>
    <w:rsid w:val="00491E1E"/>
    <w:rsid w:val="00491EEE"/>
    <w:rsid w:val="004924E5"/>
    <w:rsid w:val="0049276F"/>
    <w:rsid w:val="00492816"/>
    <w:rsid w:val="00493063"/>
    <w:rsid w:val="00493A0E"/>
    <w:rsid w:val="00493D08"/>
    <w:rsid w:val="00493D3D"/>
    <w:rsid w:val="004941AF"/>
    <w:rsid w:val="004943E3"/>
    <w:rsid w:val="004945CB"/>
    <w:rsid w:val="0049567E"/>
    <w:rsid w:val="00495AA2"/>
    <w:rsid w:val="00495B81"/>
    <w:rsid w:val="004961DB"/>
    <w:rsid w:val="00496927"/>
    <w:rsid w:val="00496A97"/>
    <w:rsid w:val="00497E75"/>
    <w:rsid w:val="00497FF8"/>
    <w:rsid w:val="004A04B1"/>
    <w:rsid w:val="004A0525"/>
    <w:rsid w:val="004A0C8F"/>
    <w:rsid w:val="004A15A5"/>
    <w:rsid w:val="004A15A9"/>
    <w:rsid w:val="004A201F"/>
    <w:rsid w:val="004A3256"/>
    <w:rsid w:val="004A3283"/>
    <w:rsid w:val="004A3394"/>
    <w:rsid w:val="004A366E"/>
    <w:rsid w:val="004A3CFF"/>
    <w:rsid w:val="004A3D13"/>
    <w:rsid w:val="004A4452"/>
    <w:rsid w:val="004A4AFF"/>
    <w:rsid w:val="004A4D38"/>
    <w:rsid w:val="004A4E7E"/>
    <w:rsid w:val="004A5168"/>
    <w:rsid w:val="004A5312"/>
    <w:rsid w:val="004A57D1"/>
    <w:rsid w:val="004A57FC"/>
    <w:rsid w:val="004A5A3C"/>
    <w:rsid w:val="004A5A64"/>
    <w:rsid w:val="004A5E0C"/>
    <w:rsid w:val="004A6982"/>
    <w:rsid w:val="004A6F8B"/>
    <w:rsid w:val="004A705C"/>
    <w:rsid w:val="004A710E"/>
    <w:rsid w:val="004A71A7"/>
    <w:rsid w:val="004A7390"/>
    <w:rsid w:val="004A7FB0"/>
    <w:rsid w:val="004B0372"/>
    <w:rsid w:val="004B038D"/>
    <w:rsid w:val="004B04E6"/>
    <w:rsid w:val="004B09F5"/>
    <w:rsid w:val="004B0B90"/>
    <w:rsid w:val="004B0FC0"/>
    <w:rsid w:val="004B1313"/>
    <w:rsid w:val="004B152E"/>
    <w:rsid w:val="004B1A62"/>
    <w:rsid w:val="004B1C42"/>
    <w:rsid w:val="004B1D72"/>
    <w:rsid w:val="004B267E"/>
    <w:rsid w:val="004B282C"/>
    <w:rsid w:val="004B2899"/>
    <w:rsid w:val="004B2B31"/>
    <w:rsid w:val="004B346D"/>
    <w:rsid w:val="004B348D"/>
    <w:rsid w:val="004B397E"/>
    <w:rsid w:val="004B3C3F"/>
    <w:rsid w:val="004B3CE9"/>
    <w:rsid w:val="004B4364"/>
    <w:rsid w:val="004B43D1"/>
    <w:rsid w:val="004B4D0A"/>
    <w:rsid w:val="004B566D"/>
    <w:rsid w:val="004B570D"/>
    <w:rsid w:val="004B5C0C"/>
    <w:rsid w:val="004B6301"/>
    <w:rsid w:val="004B676D"/>
    <w:rsid w:val="004B6846"/>
    <w:rsid w:val="004B71E9"/>
    <w:rsid w:val="004C0346"/>
    <w:rsid w:val="004C06C6"/>
    <w:rsid w:val="004C0A5B"/>
    <w:rsid w:val="004C0B5B"/>
    <w:rsid w:val="004C0E54"/>
    <w:rsid w:val="004C0F99"/>
    <w:rsid w:val="004C130D"/>
    <w:rsid w:val="004C1371"/>
    <w:rsid w:val="004C1CD7"/>
    <w:rsid w:val="004C1E76"/>
    <w:rsid w:val="004C208E"/>
    <w:rsid w:val="004C20B1"/>
    <w:rsid w:val="004C2339"/>
    <w:rsid w:val="004C24F6"/>
    <w:rsid w:val="004C2503"/>
    <w:rsid w:val="004C2E43"/>
    <w:rsid w:val="004C2F01"/>
    <w:rsid w:val="004C35D8"/>
    <w:rsid w:val="004C37A3"/>
    <w:rsid w:val="004C382F"/>
    <w:rsid w:val="004C3974"/>
    <w:rsid w:val="004C44C6"/>
    <w:rsid w:val="004C44D3"/>
    <w:rsid w:val="004C4C9E"/>
    <w:rsid w:val="004C507D"/>
    <w:rsid w:val="004C521E"/>
    <w:rsid w:val="004C5D29"/>
    <w:rsid w:val="004C5D5B"/>
    <w:rsid w:val="004C654C"/>
    <w:rsid w:val="004C68DA"/>
    <w:rsid w:val="004C6A7B"/>
    <w:rsid w:val="004C6D41"/>
    <w:rsid w:val="004C6ED4"/>
    <w:rsid w:val="004C70A2"/>
    <w:rsid w:val="004C72F4"/>
    <w:rsid w:val="004C7384"/>
    <w:rsid w:val="004C75A4"/>
    <w:rsid w:val="004C7743"/>
    <w:rsid w:val="004C7BDF"/>
    <w:rsid w:val="004D0598"/>
    <w:rsid w:val="004D0783"/>
    <w:rsid w:val="004D0A59"/>
    <w:rsid w:val="004D1A33"/>
    <w:rsid w:val="004D1D64"/>
    <w:rsid w:val="004D1F3B"/>
    <w:rsid w:val="004D23D3"/>
    <w:rsid w:val="004D25FC"/>
    <w:rsid w:val="004D2848"/>
    <w:rsid w:val="004D2950"/>
    <w:rsid w:val="004D2AE1"/>
    <w:rsid w:val="004D2C45"/>
    <w:rsid w:val="004D2CDA"/>
    <w:rsid w:val="004D2D65"/>
    <w:rsid w:val="004D2DAF"/>
    <w:rsid w:val="004D3EB5"/>
    <w:rsid w:val="004D3F7D"/>
    <w:rsid w:val="004D422E"/>
    <w:rsid w:val="004D485E"/>
    <w:rsid w:val="004D4968"/>
    <w:rsid w:val="004D4BD8"/>
    <w:rsid w:val="004D5210"/>
    <w:rsid w:val="004D5DB7"/>
    <w:rsid w:val="004D5F40"/>
    <w:rsid w:val="004D6240"/>
    <w:rsid w:val="004D6794"/>
    <w:rsid w:val="004D7316"/>
    <w:rsid w:val="004D783F"/>
    <w:rsid w:val="004E0289"/>
    <w:rsid w:val="004E03BE"/>
    <w:rsid w:val="004E0821"/>
    <w:rsid w:val="004E0BDC"/>
    <w:rsid w:val="004E0CD0"/>
    <w:rsid w:val="004E0E39"/>
    <w:rsid w:val="004E120D"/>
    <w:rsid w:val="004E12EB"/>
    <w:rsid w:val="004E1498"/>
    <w:rsid w:val="004E20EA"/>
    <w:rsid w:val="004E2428"/>
    <w:rsid w:val="004E2487"/>
    <w:rsid w:val="004E2A70"/>
    <w:rsid w:val="004E326F"/>
    <w:rsid w:val="004E358C"/>
    <w:rsid w:val="004E39A8"/>
    <w:rsid w:val="004E3FD8"/>
    <w:rsid w:val="004E423C"/>
    <w:rsid w:val="004E4503"/>
    <w:rsid w:val="004E4FE3"/>
    <w:rsid w:val="004E53AE"/>
    <w:rsid w:val="004E58B2"/>
    <w:rsid w:val="004E5A69"/>
    <w:rsid w:val="004E5C61"/>
    <w:rsid w:val="004E6184"/>
    <w:rsid w:val="004E6875"/>
    <w:rsid w:val="004E6C37"/>
    <w:rsid w:val="004E6C9B"/>
    <w:rsid w:val="004E6D32"/>
    <w:rsid w:val="004E6DAA"/>
    <w:rsid w:val="004E6DE3"/>
    <w:rsid w:val="004E6E54"/>
    <w:rsid w:val="004E6F4A"/>
    <w:rsid w:val="004E6FBE"/>
    <w:rsid w:val="004E712C"/>
    <w:rsid w:val="004E7411"/>
    <w:rsid w:val="004E752D"/>
    <w:rsid w:val="004E79BA"/>
    <w:rsid w:val="004E7C78"/>
    <w:rsid w:val="004F038D"/>
    <w:rsid w:val="004F07E9"/>
    <w:rsid w:val="004F0DB0"/>
    <w:rsid w:val="004F13D2"/>
    <w:rsid w:val="004F13F5"/>
    <w:rsid w:val="004F17EC"/>
    <w:rsid w:val="004F1A00"/>
    <w:rsid w:val="004F2152"/>
    <w:rsid w:val="004F24E8"/>
    <w:rsid w:val="004F2826"/>
    <w:rsid w:val="004F2AB3"/>
    <w:rsid w:val="004F2AD1"/>
    <w:rsid w:val="004F2AF5"/>
    <w:rsid w:val="004F2D8F"/>
    <w:rsid w:val="004F2FC3"/>
    <w:rsid w:val="004F3155"/>
    <w:rsid w:val="004F32D0"/>
    <w:rsid w:val="004F359A"/>
    <w:rsid w:val="004F3807"/>
    <w:rsid w:val="004F39B5"/>
    <w:rsid w:val="004F3A15"/>
    <w:rsid w:val="004F3DD1"/>
    <w:rsid w:val="004F3E85"/>
    <w:rsid w:val="004F3FA7"/>
    <w:rsid w:val="004F4046"/>
    <w:rsid w:val="004F4241"/>
    <w:rsid w:val="004F438E"/>
    <w:rsid w:val="004F4E30"/>
    <w:rsid w:val="004F50EE"/>
    <w:rsid w:val="004F5C31"/>
    <w:rsid w:val="004F672B"/>
    <w:rsid w:val="004F6ACA"/>
    <w:rsid w:val="004F6AFE"/>
    <w:rsid w:val="004F723E"/>
    <w:rsid w:val="004F7348"/>
    <w:rsid w:val="004F7D0B"/>
    <w:rsid w:val="004F7F1A"/>
    <w:rsid w:val="00500028"/>
    <w:rsid w:val="0050031C"/>
    <w:rsid w:val="005004F7"/>
    <w:rsid w:val="005005DE"/>
    <w:rsid w:val="00500798"/>
    <w:rsid w:val="00500A59"/>
    <w:rsid w:val="00500B71"/>
    <w:rsid w:val="00500DC9"/>
    <w:rsid w:val="005015F9"/>
    <w:rsid w:val="0050169C"/>
    <w:rsid w:val="00501AC5"/>
    <w:rsid w:val="00501E3E"/>
    <w:rsid w:val="005028F7"/>
    <w:rsid w:val="00502C24"/>
    <w:rsid w:val="00502C62"/>
    <w:rsid w:val="00503210"/>
    <w:rsid w:val="00503869"/>
    <w:rsid w:val="00503EC5"/>
    <w:rsid w:val="00503F53"/>
    <w:rsid w:val="005043A3"/>
    <w:rsid w:val="00504FF2"/>
    <w:rsid w:val="005052AC"/>
    <w:rsid w:val="0050551A"/>
    <w:rsid w:val="00505A2A"/>
    <w:rsid w:val="00505E39"/>
    <w:rsid w:val="00506180"/>
    <w:rsid w:val="00506571"/>
    <w:rsid w:val="00506700"/>
    <w:rsid w:val="005067EB"/>
    <w:rsid w:val="0050689C"/>
    <w:rsid w:val="0050699D"/>
    <w:rsid w:val="00506C2E"/>
    <w:rsid w:val="00506D59"/>
    <w:rsid w:val="00506F60"/>
    <w:rsid w:val="00507165"/>
    <w:rsid w:val="00507200"/>
    <w:rsid w:val="00507202"/>
    <w:rsid w:val="00507267"/>
    <w:rsid w:val="00507297"/>
    <w:rsid w:val="005072E8"/>
    <w:rsid w:val="0050765F"/>
    <w:rsid w:val="00507CAF"/>
    <w:rsid w:val="00507FB0"/>
    <w:rsid w:val="00510444"/>
    <w:rsid w:val="005104C2"/>
    <w:rsid w:val="00510644"/>
    <w:rsid w:val="00510BF8"/>
    <w:rsid w:val="00510E58"/>
    <w:rsid w:val="005112EA"/>
    <w:rsid w:val="005117A7"/>
    <w:rsid w:val="00511AC6"/>
    <w:rsid w:val="00511E37"/>
    <w:rsid w:val="00512747"/>
    <w:rsid w:val="0051274A"/>
    <w:rsid w:val="005132A6"/>
    <w:rsid w:val="005137D0"/>
    <w:rsid w:val="005138A9"/>
    <w:rsid w:val="00513F8F"/>
    <w:rsid w:val="005143D2"/>
    <w:rsid w:val="005147E7"/>
    <w:rsid w:val="005149A2"/>
    <w:rsid w:val="00514BFD"/>
    <w:rsid w:val="00514FC7"/>
    <w:rsid w:val="005150E4"/>
    <w:rsid w:val="00515585"/>
    <w:rsid w:val="0051568C"/>
    <w:rsid w:val="005157A7"/>
    <w:rsid w:val="005157BE"/>
    <w:rsid w:val="00515C83"/>
    <w:rsid w:val="00515E2B"/>
    <w:rsid w:val="005167C1"/>
    <w:rsid w:val="00517326"/>
    <w:rsid w:val="00517B89"/>
    <w:rsid w:val="00517C3B"/>
    <w:rsid w:val="0052001B"/>
    <w:rsid w:val="0052095A"/>
    <w:rsid w:val="005209C7"/>
    <w:rsid w:val="00520FA2"/>
    <w:rsid w:val="00521939"/>
    <w:rsid w:val="00521D65"/>
    <w:rsid w:val="00521EF2"/>
    <w:rsid w:val="00522592"/>
    <w:rsid w:val="00522E36"/>
    <w:rsid w:val="00523B71"/>
    <w:rsid w:val="00523F32"/>
    <w:rsid w:val="005251DA"/>
    <w:rsid w:val="005251DF"/>
    <w:rsid w:val="00525515"/>
    <w:rsid w:val="005255CE"/>
    <w:rsid w:val="00525CAE"/>
    <w:rsid w:val="00526653"/>
    <w:rsid w:val="005266E4"/>
    <w:rsid w:val="00526C8A"/>
    <w:rsid w:val="00527489"/>
    <w:rsid w:val="00527DB2"/>
    <w:rsid w:val="0053045F"/>
    <w:rsid w:val="0053047D"/>
    <w:rsid w:val="00530BD5"/>
    <w:rsid w:val="00531147"/>
    <w:rsid w:val="00531307"/>
    <w:rsid w:val="0053173A"/>
    <w:rsid w:val="00531824"/>
    <w:rsid w:val="00531F3E"/>
    <w:rsid w:val="00532462"/>
    <w:rsid w:val="00532822"/>
    <w:rsid w:val="00532976"/>
    <w:rsid w:val="00533215"/>
    <w:rsid w:val="005338D3"/>
    <w:rsid w:val="005339D2"/>
    <w:rsid w:val="0053437E"/>
    <w:rsid w:val="0053448E"/>
    <w:rsid w:val="0053476E"/>
    <w:rsid w:val="005349EB"/>
    <w:rsid w:val="00534B42"/>
    <w:rsid w:val="00534D96"/>
    <w:rsid w:val="00535325"/>
    <w:rsid w:val="0053542C"/>
    <w:rsid w:val="00536EF2"/>
    <w:rsid w:val="005376B6"/>
    <w:rsid w:val="00537814"/>
    <w:rsid w:val="005408FD"/>
    <w:rsid w:val="00540EC8"/>
    <w:rsid w:val="005412ED"/>
    <w:rsid w:val="005417A0"/>
    <w:rsid w:val="00541EE0"/>
    <w:rsid w:val="005422E8"/>
    <w:rsid w:val="005426C4"/>
    <w:rsid w:val="005428A5"/>
    <w:rsid w:val="00542F93"/>
    <w:rsid w:val="005432F1"/>
    <w:rsid w:val="00543342"/>
    <w:rsid w:val="00543A66"/>
    <w:rsid w:val="00543F5B"/>
    <w:rsid w:val="005448C0"/>
    <w:rsid w:val="00544E06"/>
    <w:rsid w:val="00544F86"/>
    <w:rsid w:val="0054556C"/>
    <w:rsid w:val="0054556F"/>
    <w:rsid w:val="00546738"/>
    <w:rsid w:val="005467D6"/>
    <w:rsid w:val="00546885"/>
    <w:rsid w:val="00546942"/>
    <w:rsid w:val="00546ACE"/>
    <w:rsid w:val="00546BD5"/>
    <w:rsid w:val="00546D42"/>
    <w:rsid w:val="00546EE5"/>
    <w:rsid w:val="00547933"/>
    <w:rsid w:val="00547E9B"/>
    <w:rsid w:val="00550151"/>
    <w:rsid w:val="00550A54"/>
    <w:rsid w:val="00551204"/>
    <w:rsid w:val="00552163"/>
    <w:rsid w:val="00552569"/>
    <w:rsid w:val="0055269F"/>
    <w:rsid w:val="005527EA"/>
    <w:rsid w:val="00552AC3"/>
    <w:rsid w:val="005533EA"/>
    <w:rsid w:val="0055348E"/>
    <w:rsid w:val="00553812"/>
    <w:rsid w:val="0055396A"/>
    <w:rsid w:val="00553C13"/>
    <w:rsid w:val="00554999"/>
    <w:rsid w:val="00554B3D"/>
    <w:rsid w:val="00554BE6"/>
    <w:rsid w:val="005555A1"/>
    <w:rsid w:val="00556461"/>
    <w:rsid w:val="00556496"/>
    <w:rsid w:val="005565A2"/>
    <w:rsid w:val="00557004"/>
    <w:rsid w:val="005570E7"/>
    <w:rsid w:val="00557A90"/>
    <w:rsid w:val="00557ACA"/>
    <w:rsid w:val="00560546"/>
    <w:rsid w:val="005605BD"/>
    <w:rsid w:val="00560CC3"/>
    <w:rsid w:val="005612F8"/>
    <w:rsid w:val="0056137E"/>
    <w:rsid w:val="0056171E"/>
    <w:rsid w:val="00561E7E"/>
    <w:rsid w:val="0056200F"/>
    <w:rsid w:val="00562276"/>
    <w:rsid w:val="005622DF"/>
    <w:rsid w:val="00562820"/>
    <w:rsid w:val="005639EE"/>
    <w:rsid w:val="00564313"/>
    <w:rsid w:val="0056434D"/>
    <w:rsid w:val="0056453D"/>
    <w:rsid w:val="005649A2"/>
    <w:rsid w:val="00564D6E"/>
    <w:rsid w:val="00564E55"/>
    <w:rsid w:val="00564ED5"/>
    <w:rsid w:val="00565C22"/>
    <w:rsid w:val="005661FA"/>
    <w:rsid w:val="00566A77"/>
    <w:rsid w:val="00566C3A"/>
    <w:rsid w:val="0056710F"/>
    <w:rsid w:val="0056719E"/>
    <w:rsid w:val="00567D6E"/>
    <w:rsid w:val="00570859"/>
    <w:rsid w:val="00570C83"/>
    <w:rsid w:val="00572583"/>
    <w:rsid w:val="00572A3E"/>
    <w:rsid w:val="00572B21"/>
    <w:rsid w:val="00573146"/>
    <w:rsid w:val="005735E8"/>
    <w:rsid w:val="0057380A"/>
    <w:rsid w:val="005738E8"/>
    <w:rsid w:val="00573B1B"/>
    <w:rsid w:val="00573BE0"/>
    <w:rsid w:val="00573D2E"/>
    <w:rsid w:val="00573E29"/>
    <w:rsid w:val="00573EBD"/>
    <w:rsid w:val="00573F24"/>
    <w:rsid w:val="00574454"/>
    <w:rsid w:val="005746CD"/>
    <w:rsid w:val="00574C2A"/>
    <w:rsid w:val="00575248"/>
    <w:rsid w:val="00575716"/>
    <w:rsid w:val="005758CE"/>
    <w:rsid w:val="00575E94"/>
    <w:rsid w:val="005770BC"/>
    <w:rsid w:val="00577366"/>
    <w:rsid w:val="00577820"/>
    <w:rsid w:val="00577BE7"/>
    <w:rsid w:val="00580331"/>
    <w:rsid w:val="00581217"/>
    <w:rsid w:val="00581367"/>
    <w:rsid w:val="005815F4"/>
    <w:rsid w:val="005819D7"/>
    <w:rsid w:val="00581EBE"/>
    <w:rsid w:val="00582D3E"/>
    <w:rsid w:val="00582E3D"/>
    <w:rsid w:val="0058347D"/>
    <w:rsid w:val="005836D0"/>
    <w:rsid w:val="00583766"/>
    <w:rsid w:val="005840E5"/>
    <w:rsid w:val="00584279"/>
    <w:rsid w:val="005847CE"/>
    <w:rsid w:val="00584818"/>
    <w:rsid w:val="00584953"/>
    <w:rsid w:val="00584CA4"/>
    <w:rsid w:val="0058501F"/>
    <w:rsid w:val="0058510C"/>
    <w:rsid w:val="0058602D"/>
    <w:rsid w:val="0058628A"/>
    <w:rsid w:val="005864D3"/>
    <w:rsid w:val="00586D6E"/>
    <w:rsid w:val="0058748C"/>
    <w:rsid w:val="00587570"/>
    <w:rsid w:val="0058764D"/>
    <w:rsid w:val="005877A3"/>
    <w:rsid w:val="00590252"/>
    <w:rsid w:val="00590C9A"/>
    <w:rsid w:val="00591331"/>
    <w:rsid w:val="00591674"/>
    <w:rsid w:val="00591781"/>
    <w:rsid w:val="00591921"/>
    <w:rsid w:val="00591A42"/>
    <w:rsid w:val="00591B9C"/>
    <w:rsid w:val="0059284B"/>
    <w:rsid w:val="00592A40"/>
    <w:rsid w:val="00592A4A"/>
    <w:rsid w:val="00592AB5"/>
    <w:rsid w:val="005934AB"/>
    <w:rsid w:val="005939E5"/>
    <w:rsid w:val="00593F01"/>
    <w:rsid w:val="00594B20"/>
    <w:rsid w:val="00594F2B"/>
    <w:rsid w:val="005955F2"/>
    <w:rsid w:val="00595652"/>
    <w:rsid w:val="00595B80"/>
    <w:rsid w:val="00595FA3"/>
    <w:rsid w:val="005962B2"/>
    <w:rsid w:val="005964D2"/>
    <w:rsid w:val="00596788"/>
    <w:rsid w:val="005968C4"/>
    <w:rsid w:val="00596A82"/>
    <w:rsid w:val="00596D48"/>
    <w:rsid w:val="00596E93"/>
    <w:rsid w:val="00597131"/>
    <w:rsid w:val="005975A9"/>
    <w:rsid w:val="00597605"/>
    <w:rsid w:val="005A05C6"/>
    <w:rsid w:val="005A0753"/>
    <w:rsid w:val="005A0789"/>
    <w:rsid w:val="005A167B"/>
    <w:rsid w:val="005A170B"/>
    <w:rsid w:val="005A1C45"/>
    <w:rsid w:val="005A1F2D"/>
    <w:rsid w:val="005A2229"/>
    <w:rsid w:val="005A2832"/>
    <w:rsid w:val="005A320D"/>
    <w:rsid w:val="005A3468"/>
    <w:rsid w:val="005A35EA"/>
    <w:rsid w:val="005A36E3"/>
    <w:rsid w:val="005A42B1"/>
    <w:rsid w:val="005A4A64"/>
    <w:rsid w:val="005A50FE"/>
    <w:rsid w:val="005A566A"/>
    <w:rsid w:val="005A59CF"/>
    <w:rsid w:val="005A6C2A"/>
    <w:rsid w:val="005A6CB4"/>
    <w:rsid w:val="005A737A"/>
    <w:rsid w:val="005A742B"/>
    <w:rsid w:val="005A760D"/>
    <w:rsid w:val="005A7ECD"/>
    <w:rsid w:val="005A7F72"/>
    <w:rsid w:val="005B097C"/>
    <w:rsid w:val="005B1CA7"/>
    <w:rsid w:val="005B1CC4"/>
    <w:rsid w:val="005B1D3E"/>
    <w:rsid w:val="005B2122"/>
    <w:rsid w:val="005B2764"/>
    <w:rsid w:val="005B2EB8"/>
    <w:rsid w:val="005B337E"/>
    <w:rsid w:val="005B33A1"/>
    <w:rsid w:val="005B3577"/>
    <w:rsid w:val="005B3919"/>
    <w:rsid w:val="005B3D69"/>
    <w:rsid w:val="005B48EF"/>
    <w:rsid w:val="005B4BC9"/>
    <w:rsid w:val="005B5251"/>
    <w:rsid w:val="005B5336"/>
    <w:rsid w:val="005B54FE"/>
    <w:rsid w:val="005B5749"/>
    <w:rsid w:val="005B5A55"/>
    <w:rsid w:val="005B5F56"/>
    <w:rsid w:val="005B6152"/>
    <w:rsid w:val="005B6173"/>
    <w:rsid w:val="005B62DB"/>
    <w:rsid w:val="005B6598"/>
    <w:rsid w:val="005B67F6"/>
    <w:rsid w:val="005B6E3A"/>
    <w:rsid w:val="005B750B"/>
    <w:rsid w:val="005B7A31"/>
    <w:rsid w:val="005B7D8A"/>
    <w:rsid w:val="005C0904"/>
    <w:rsid w:val="005C09BF"/>
    <w:rsid w:val="005C09FA"/>
    <w:rsid w:val="005C0D61"/>
    <w:rsid w:val="005C0E62"/>
    <w:rsid w:val="005C17D4"/>
    <w:rsid w:val="005C18B0"/>
    <w:rsid w:val="005C1B10"/>
    <w:rsid w:val="005C2121"/>
    <w:rsid w:val="005C22B4"/>
    <w:rsid w:val="005C2EA8"/>
    <w:rsid w:val="005C2EB9"/>
    <w:rsid w:val="005C31CC"/>
    <w:rsid w:val="005C3A28"/>
    <w:rsid w:val="005C4037"/>
    <w:rsid w:val="005C5468"/>
    <w:rsid w:val="005C5849"/>
    <w:rsid w:val="005C5AA6"/>
    <w:rsid w:val="005C5E0A"/>
    <w:rsid w:val="005C5E4D"/>
    <w:rsid w:val="005C6209"/>
    <w:rsid w:val="005C6BCA"/>
    <w:rsid w:val="005C7386"/>
    <w:rsid w:val="005C781E"/>
    <w:rsid w:val="005C7C26"/>
    <w:rsid w:val="005C7CAD"/>
    <w:rsid w:val="005D02FA"/>
    <w:rsid w:val="005D0485"/>
    <w:rsid w:val="005D0790"/>
    <w:rsid w:val="005D0E4D"/>
    <w:rsid w:val="005D1438"/>
    <w:rsid w:val="005D1FE3"/>
    <w:rsid w:val="005D2043"/>
    <w:rsid w:val="005D20FC"/>
    <w:rsid w:val="005D21DE"/>
    <w:rsid w:val="005D2464"/>
    <w:rsid w:val="005D2AC7"/>
    <w:rsid w:val="005D2B8D"/>
    <w:rsid w:val="005D2EE8"/>
    <w:rsid w:val="005D3084"/>
    <w:rsid w:val="005D32EE"/>
    <w:rsid w:val="005D38CA"/>
    <w:rsid w:val="005D4087"/>
    <w:rsid w:val="005D4722"/>
    <w:rsid w:val="005D47FA"/>
    <w:rsid w:val="005D4884"/>
    <w:rsid w:val="005D49D1"/>
    <w:rsid w:val="005D4D64"/>
    <w:rsid w:val="005D5E46"/>
    <w:rsid w:val="005D5FC6"/>
    <w:rsid w:val="005D64A5"/>
    <w:rsid w:val="005D680B"/>
    <w:rsid w:val="005D6B30"/>
    <w:rsid w:val="005D7AA9"/>
    <w:rsid w:val="005D7B88"/>
    <w:rsid w:val="005E0010"/>
    <w:rsid w:val="005E048A"/>
    <w:rsid w:val="005E0EAD"/>
    <w:rsid w:val="005E0EB3"/>
    <w:rsid w:val="005E16CB"/>
    <w:rsid w:val="005E177B"/>
    <w:rsid w:val="005E1814"/>
    <w:rsid w:val="005E1F47"/>
    <w:rsid w:val="005E22A1"/>
    <w:rsid w:val="005E260D"/>
    <w:rsid w:val="005E2F2F"/>
    <w:rsid w:val="005E3362"/>
    <w:rsid w:val="005E35FD"/>
    <w:rsid w:val="005E383F"/>
    <w:rsid w:val="005E47F9"/>
    <w:rsid w:val="005E4895"/>
    <w:rsid w:val="005E5220"/>
    <w:rsid w:val="005E5B30"/>
    <w:rsid w:val="005E67D7"/>
    <w:rsid w:val="005E6B6A"/>
    <w:rsid w:val="005E7342"/>
    <w:rsid w:val="005E7698"/>
    <w:rsid w:val="005E7750"/>
    <w:rsid w:val="005E77D7"/>
    <w:rsid w:val="005E7CAF"/>
    <w:rsid w:val="005F029A"/>
    <w:rsid w:val="005F0931"/>
    <w:rsid w:val="005F0A0E"/>
    <w:rsid w:val="005F0C46"/>
    <w:rsid w:val="005F1254"/>
    <w:rsid w:val="005F1440"/>
    <w:rsid w:val="005F1466"/>
    <w:rsid w:val="005F1CB0"/>
    <w:rsid w:val="005F1EA4"/>
    <w:rsid w:val="005F1FE4"/>
    <w:rsid w:val="005F2AF8"/>
    <w:rsid w:val="005F3154"/>
    <w:rsid w:val="005F371A"/>
    <w:rsid w:val="005F3F7F"/>
    <w:rsid w:val="005F47F9"/>
    <w:rsid w:val="005F4950"/>
    <w:rsid w:val="005F499E"/>
    <w:rsid w:val="005F4AC6"/>
    <w:rsid w:val="005F4B3D"/>
    <w:rsid w:val="005F55AA"/>
    <w:rsid w:val="005F55CC"/>
    <w:rsid w:val="005F55E3"/>
    <w:rsid w:val="005F5B30"/>
    <w:rsid w:val="005F5B83"/>
    <w:rsid w:val="005F60C4"/>
    <w:rsid w:val="005F6365"/>
    <w:rsid w:val="005F660A"/>
    <w:rsid w:val="005F6697"/>
    <w:rsid w:val="005F679F"/>
    <w:rsid w:val="005F6AAB"/>
    <w:rsid w:val="005F6B31"/>
    <w:rsid w:val="005F6CA3"/>
    <w:rsid w:val="005F74CB"/>
    <w:rsid w:val="005F75A5"/>
    <w:rsid w:val="00600277"/>
    <w:rsid w:val="0060031B"/>
    <w:rsid w:val="00600B73"/>
    <w:rsid w:val="006012E3"/>
    <w:rsid w:val="00601DF9"/>
    <w:rsid w:val="00601EDE"/>
    <w:rsid w:val="00601FCD"/>
    <w:rsid w:val="006021A4"/>
    <w:rsid w:val="00602949"/>
    <w:rsid w:val="00602AD1"/>
    <w:rsid w:val="00602CFB"/>
    <w:rsid w:val="00602ECE"/>
    <w:rsid w:val="00602F2F"/>
    <w:rsid w:val="00602FB5"/>
    <w:rsid w:val="0060342E"/>
    <w:rsid w:val="0060349D"/>
    <w:rsid w:val="006035D0"/>
    <w:rsid w:val="0060384D"/>
    <w:rsid w:val="006039C5"/>
    <w:rsid w:val="006045D6"/>
    <w:rsid w:val="0060515F"/>
    <w:rsid w:val="00605945"/>
    <w:rsid w:val="00606C6F"/>
    <w:rsid w:val="00606FA6"/>
    <w:rsid w:val="00607079"/>
    <w:rsid w:val="00607ADE"/>
    <w:rsid w:val="00607B1D"/>
    <w:rsid w:val="006104EB"/>
    <w:rsid w:val="006107F3"/>
    <w:rsid w:val="00610FF8"/>
    <w:rsid w:val="00611081"/>
    <w:rsid w:val="00611145"/>
    <w:rsid w:val="00611265"/>
    <w:rsid w:val="00611C83"/>
    <w:rsid w:val="00611E38"/>
    <w:rsid w:val="00612015"/>
    <w:rsid w:val="0061223C"/>
    <w:rsid w:val="006122CF"/>
    <w:rsid w:val="00612351"/>
    <w:rsid w:val="006127C8"/>
    <w:rsid w:val="00612861"/>
    <w:rsid w:val="0061286E"/>
    <w:rsid w:val="00612C73"/>
    <w:rsid w:val="006130DB"/>
    <w:rsid w:val="006135B2"/>
    <w:rsid w:val="00613C0F"/>
    <w:rsid w:val="006144BB"/>
    <w:rsid w:val="006149D1"/>
    <w:rsid w:val="006149E5"/>
    <w:rsid w:val="00614AD8"/>
    <w:rsid w:val="00614CB4"/>
    <w:rsid w:val="00614EE6"/>
    <w:rsid w:val="006151F5"/>
    <w:rsid w:val="0061579D"/>
    <w:rsid w:val="006158ED"/>
    <w:rsid w:val="00615BDB"/>
    <w:rsid w:val="006165FF"/>
    <w:rsid w:val="00616A04"/>
    <w:rsid w:val="00616E37"/>
    <w:rsid w:val="0061717F"/>
    <w:rsid w:val="00617810"/>
    <w:rsid w:val="006179B1"/>
    <w:rsid w:val="00617D03"/>
    <w:rsid w:val="00617E9E"/>
    <w:rsid w:val="00620315"/>
    <w:rsid w:val="00620686"/>
    <w:rsid w:val="006209E8"/>
    <w:rsid w:val="006213D4"/>
    <w:rsid w:val="00621B11"/>
    <w:rsid w:val="00621C0B"/>
    <w:rsid w:val="00621CAD"/>
    <w:rsid w:val="0062256B"/>
    <w:rsid w:val="00622A7E"/>
    <w:rsid w:val="00622B8B"/>
    <w:rsid w:val="00622F0E"/>
    <w:rsid w:val="0062317C"/>
    <w:rsid w:val="00623A7F"/>
    <w:rsid w:val="00623B54"/>
    <w:rsid w:val="00623C4D"/>
    <w:rsid w:val="00623C74"/>
    <w:rsid w:val="00624329"/>
    <w:rsid w:val="006245A9"/>
    <w:rsid w:val="0062482E"/>
    <w:rsid w:val="00624DA0"/>
    <w:rsid w:val="00625213"/>
    <w:rsid w:val="006253B3"/>
    <w:rsid w:val="006256C5"/>
    <w:rsid w:val="00625B24"/>
    <w:rsid w:val="00625D32"/>
    <w:rsid w:val="006265D0"/>
    <w:rsid w:val="00626688"/>
    <w:rsid w:val="00626C25"/>
    <w:rsid w:val="006277CD"/>
    <w:rsid w:val="006279A7"/>
    <w:rsid w:val="00627BA3"/>
    <w:rsid w:val="00627E44"/>
    <w:rsid w:val="00630549"/>
    <w:rsid w:val="00630829"/>
    <w:rsid w:val="00631561"/>
    <w:rsid w:val="00631826"/>
    <w:rsid w:val="006326BC"/>
    <w:rsid w:val="006327DF"/>
    <w:rsid w:val="00632A0E"/>
    <w:rsid w:val="006330C0"/>
    <w:rsid w:val="00633737"/>
    <w:rsid w:val="00633951"/>
    <w:rsid w:val="00633B5E"/>
    <w:rsid w:val="00633C0A"/>
    <w:rsid w:val="00633CB0"/>
    <w:rsid w:val="0063405E"/>
    <w:rsid w:val="006343E6"/>
    <w:rsid w:val="006348E3"/>
    <w:rsid w:val="00634B95"/>
    <w:rsid w:val="00634C92"/>
    <w:rsid w:val="00635175"/>
    <w:rsid w:val="006352B0"/>
    <w:rsid w:val="00635CC3"/>
    <w:rsid w:val="00636041"/>
    <w:rsid w:val="0063608B"/>
    <w:rsid w:val="00636094"/>
    <w:rsid w:val="00636810"/>
    <w:rsid w:val="00636C25"/>
    <w:rsid w:val="00636E91"/>
    <w:rsid w:val="00637088"/>
    <w:rsid w:val="006373C7"/>
    <w:rsid w:val="00637E00"/>
    <w:rsid w:val="00637F1E"/>
    <w:rsid w:val="00640222"/>
    <w:rsid w:val="00640E17"/>
    <w:rsid w:val="00641061"/>
    <w:rsid w:val="00641251"/>
    <w:rsid w:val="006412CA"/>
    <w:rsid w:val="006419D8"/>
    <w:rsid w:val="00641E4B"/>
    <w:rsid w:val="006424A2"/>
    <w:rsid w:val="006427D6"/>
    <w:rsid w:val="006428E2"/>
    <w:rsid w:val="00642A05"/>
    <w:rsid w:val="00642C4D"/>
    <w:rsid w:val="00642CBD"/>
    <w:rsid w:val="00642D10"/>
    <w:rsid w:val="006430B5"/>
    <w:rsid w:val="0064323B"/>
    <w:rsid w:val="0064351F"/>
    <w:rsid w:val="00643558"/>
    <w:rsid w:val="006438E0"/>
    <w:rsid w:val="00644200"/>
    <w:rsid w:val="006448A4"/>
    <w:rsid w:val="00645195"/>
    <w:rsid w:val="00645F70"/>
    <w:rsid w:val="0064640A"/>
    <w:rsid w:val="0064661A"/>
    <w:rsid w:val="00646DD0"/>
    <w:rsid w:val="006472FD"/>
    <w:rsid w:val="00647D2D"/>
    <w:rsid w:val="006506D3"/>
    <w:rsid w:val="00650854"/>
    <w:rsid w:val="00650A04"/>
    <w:rsid w:val="00650CAB"/>
    <w:rsid w:val="006510F4"/>
    <w:rsid w:val="006510F9"/>
    <w:rsid w:val="006514E4"/>
    <w:rsid w:val="00651AD3"/>
    <w:rsid w:val="00651FA0"/>
    <w:rsid w:val="006524E1"/>
    <w:rsid w:val="006526F3"/>
    <w:rsid w:val="0065293D"/>
    <w:rsid w:val="0065312C"/>
    <w:rsid w:val="00653345"/>
    <w:rsid w:val="006536FE"/>
    <w:rsid w:val="0065384A"/>
    <w:rsid w:val="00653C67"/>
    <w:rsid w:val="0065431C"/>
    <w:rsid w:val="006544F6"/>
    <w:rsid w:val="00655070"/>
    <w:rsid w:val="006558FA"/>
    <w:rsid w:val="0065594D"/>
    <w:rsid w:val="00655B52"/>
    <w:rsid w:val="006569EB"/>
    <w:rsid w:val="00656A90"/>
    <w:rsid w:val="00656E29"/>
    <w:rsid w:val="00657005"/>
    <w:rsid w:val="0065788E"/>
    <w:rsid w:val="006578D9"/>
    <w:rsid w:val="00657D57"/>
    <w:rsid w:val="00657F3B"/>
    <w:rsid w:val="00657FE4"/>
    <w:rsid w:val="006604B6"/>
    <w:rsid w:val="006605DC"/>
    <w:rsid w:val="006605F8"/>
    <w:rsid w:val="006606B1"/>
    <w:rsid w:val="006607F1"/>
    <w:rsid w:val="0066121D"/>
    <w:rsid w:val="006615C6"/>
    <w:rsid w:val="00661636"/>
    <w:rsid w:val="006617E5"/>
    <w:rsid w:val="006619A0"/>
    <w:rsid w:val="00661B8D"/>
    <w:rsid w:val="00661EF2"/>
    <w:rsid w:val="00661FFB"/>
    <w:rsid w:val="00662166"/>
    <w:rsid w:val="0066272F"/>
    <w:rsid w:val="006627DF"/>
    <w:rsid w:val="00662962"/>
    <w:rsid w:val="00662B13"/>
    <w:rsid w:val="00662B49"/>
    <w:rsid w:val="00662C29"/>
    <w:rsid w:val="006635A1"/>
    <w:rsid w:val="0066397B"/>
    <w:rsid w:val="00663D73"/>
    <w:rsid w:val="00665229"/>
    <w:rsid w:val="006654E8"/>
    <w:rsid w:val="00665598"/>
    <w:rsid w:val="0066566C"/>
    <w:rsid w:val="0066568F"/>
    <w:rsid w:val="00665714"/>
    <w:rsid w:val="00665788"/>
    <w:rsid w:val="00665C15"/>
    <w:rsid w:val="00665CCE"/>
    <w:rsid w:val="00665F1A"/>
    <w:rsid w:val="00666471"/>
    <w:rsid w:val="00666653"/>
    <w:rsid w:val="00666EFB"/>
    <w:rsid w:val="0066757B"/>
    <w:rsid w:val="00667845"/>
    <w:rsid w:val="00667900"/>
    <w:rsid w:val="0066797B"/>
    <w:rsid w:val="00667A27"/>
    <w:rsid w:val="0067016B"/>
    <w:rsid w:val="00670328"/>
    <w:rsid w:val="006704BF"/>
    <w:rsid w:val="00670686"/>
    <w:rsid w:val="00670AD8"/>
    <w:rsid w:val="00670ECD"/>
    <w:rsid w:val="00671410"/>
    <w:rsid w:val="00671D7F"/>
    <w:rsid w:val="006721A8"/>
    <w:rsid w:val="006724E3"/>
    <w:rsid w:val="00672905"/>
    <w:rsid w:val="006730FA"/>
    <w:rsid w:val="006732CD"/>
    <w:rsid w:val="00673D7C"/>
    <w:rsid w:val="00673FBF"/>
    <w:rsid w:val="006742A4"/>
    <w:rsid w:val="0067434F"/>
    <w:rsid w:val="006743C4"/>
    <w:rsid w:val="00674460"/>
    <w:rsid w:val="006744FB"/>
    <w:rsid w:val="00674EF6"/>
    <w:rsid w:val="0067532C"/>
    <w:rsid w:val="00675912"/>
    <w:rsid w:val="006763AF"/>
    <w:rsid w:val="00676A4B"/>
    <w:rsid w:val="00676C9B"/>
    <w:rsid w:val="006770E6"/>
    <w:rsid w:val="00677E8D"/>
    <w:rsid w:val="006803F1"/>
    <w:rsid w:val="00680A97"/>
    <w:rsid w:val="00680C3F"/>
    <w:rsid w:val="0068102D"/>
    <w:rsid w:val="006810EA"/>
    <w:rsid w:val="006812DE"/>
    <w:rsid w:val="00681566"/>
    <w:rsid w:val="0068190D"/>
    <w:rsid w:val="00681A4C"/>
    <w:rsid w:val="00681D99"/>
    <w:rsid w:val="0068226B"/>
    <w:rsid w:val="006823EC"/>
    <w:rsid w:val="0068293D"/>
    <w:rsid w:val="00682ED3"/>
    <w:rsid w:val="0068370B"/>
    <w:rsid w:val="00683771"/>
    <w:rsid w:val="0068489B"/>
    <w:rsid w:val="00684BDE"/>
    <w:rsid w:val="00684FBD"/>
    <w:rsid w:val="006854C9"/>
    <w:rsid w:val="00685535"/>
    <w:rsid w:val="00685671"/>
    <w:rsid w:val="00685D3B"/>
    <w:rsid w:val="00685DA8"/>
    <w:rsid w:val="006862F8"/>
    <w:rsid w:val="00686F45"/>
    <w:rsid w:val="0068702F"/>
    <w:rsid w:val="00687081"/>
    <w:rsid w:val="00687578"/>
    <w:rsid w:val="006876A0"/>
    <w:rsid w:val="00687817"/>
    <w:rsid w:val="00687B41"/>
    <w:rsid w:val="0069008A"/>
    <w:rsid w:val="00690754"/>
    <w:rsid w:val="00690881"/>
    <w:rsid w:val="006915F8"/>
    <w:rsid w:val="00692799"/>
    <w:rsid w:val="00692A0D"/>
    <w:rsid w:val="00692E1A"/>
    <w:rsid w:val="00692EC4"/>
    <w:rsid w:val="00693077"/>
    <w:rsid w:val="0069313A"/>
    <w:rsid w:val="00693295"/>
    <w:rsid w:val="006936BD"/>
    <w:rsid w:val="0069447C"/>
    <w:rsid w:val="0069591E"/>
    <w:rsid w:val="00695E1E"/>
    <w:rsid w:val="00695E3A"/>
    <w:rsid w:val="00695E8B"/>
    <w:rsid w:val="006962C1"/>
    <w:rsid w:val="0069644E"/>
    <w:rsid w:val="00696CC7"/>
    <w:rsid w:val="00697214"/>
    <w:rsid w:val="006979CD"/>
    <w:rsid w:val="00697FE2"/>
    <w:rsid w:val="006A0B49"/>
    <w:rsid w:val="006A1313"/>
    <w:rsid w:val="006A2347"/>
    <w:rsid w:val="006A24B3"/>
    <w:rsid w:val="006A2994"/>
    <w:rsid w:val="006A2A3D"/>
    <w:rsid w:val="006A2A70"/>
    <w:rsid w:val="006A2C39"/>
    <w:rsid w:val="006A3C00"/>
    <w:rsid w:val="006A3D74"/>
    <w:rsid w:val="006A40F0"/>
    <w:rsid w:val="006A415E"/>
    <w:rsid w:val="006A46C7"/>
    <w:rsid w:val="006A48D3"/>
    <w:rsid w:val="006A49B5"/>
    <w:rsid w:val="006A4A6C"/>
    <w:rsid w:val="006A4B26"/>
    <w:rsid w:val="006A4E37"/>
    <w:rsid w:val="006A4EED"/>
    <w:rsid w:val="006A5A82"/>
    <w:rsid w:val="006A5BC7"/>
    <w:rsid w:val="006A5C44"/>
    <w:rsid w:val="006A5DE5"/>
    <w:rsid w:val="006A5E45"/>
    <w:rsid w:val="006A636A"/>
    <w:rsid w:val="006A68C2"/>
    <w:rsid w:val="006A6B69"/>
    <w:rsid w:val="006A6D1C"/>
    <w:rsid w:val="006A6F85"/>
    <w:rsid w:val="006A76C9"/>
    <w:rsid w:val="006A7866"/>
    <w:rsid w:val="006A7E91"/>
    <w:rsid w:val="006B1229"/>
    <w:rsid w:val="006B1938"/>
    <w:rsid w:val="006B19B2"/>
    <w:rsid w:val="006B1DA2"/>
    <w:rsid w:val="006B1F5F"/>
    <w:rsid w:val="006B2064"/>
    <w:rsid w:val="006B20F1"/>
    <w:rsid w:val="006B2B27"/>
    <w:rsid w:val="006B3373"/>
    <w:rsid w:val="006B3AD6"/>
    <w:rsid w:val="006B4B4D"/>
    <w:rsid w:val="006B4F5B"/>
    <w:rsid w:val="006B50BB"/>
    <w:rsid w:val="006B5922"/>
    <w:rsid w:val="006B5D43"/>
    <w:rsid w:val="006B5E2B"/>
    <w:rsid w:val="006B6055"/>
    <w:rsid w:val="006B646E"/>
    <w:rsid w:val="006B67DE"/>
    <w:rsid w:val="006B6A44"/>
    <w:rsid w:val="006B6C94"/>
    <w:rsid w:val="006B6E3E"/>
    <w:rsid w:val="006B70DA"/>
    <w:rsid w:val="006B7535"/>
    <w:rsid w:val="006B783C"/>
    <w:rsid w:val="006C0900"/>
    <w:rsid w:val="006C09DD"/>
    <w:rsid w:val="006C0AEC"/>
    <w:rsid w:val="006C0F11"/>
    <w:rsid w:val="006C10C0"/>
    <w:rsid w:val="006C1ABF"/>
    <w:rsid w:val="006C1C04"/>
    <w:rsid w:val="006C2451"/>
    <w:rsid w:val="006C25F1"/>
    <w:rsid w:val="006C2B5C"/>
    <w:rsid w:val="006C369C"/>
    <w:rsid w:val="006C36B7"/>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01"/>
    <w:rsid w:val="006C6E92"/>
    <w:rsid w:val="006C7002"/>
    <w:rsid w:val="006C724C"/>
    <w:rsid w:val="006C75C9"/>
    <w:rsid w:val="006C78FA"/>
    <w:rsid w:val="006C7D80"/>
    <w:rsid w:val="006D0448"/>
    <w:rsid w:val="006D0B4F"/>
    <w:rsid w:val="006D0D74"/>
    <w:rsid w:val="006D12FA"/>
    <w:rsid w:val="006D168E"/>
    <w:rsid w:val="006D1F1A"/>
    <w:rsid w:val="006D21FF"/>
    <w:rsid w:val="006D27D6"/>
    <w:rsid w:val="006D388C"/>
    <w:rsid w:val="006D493C"/>
    <w:rsid w:val="006D4BD7"/>
    <w:rsid w:val="006D5FEE"/>
    <w:rsid w:val="006D5FEF"/>
    <w:rsid w:val="006D6152"/>
    <w:rsid w:val="006D64D6"/>
    <w:rsid w:val="006D696C"/>
    <w:rsid w:val="006D6A4C"/>
    <w:rsid w:val="006D6FC8"/>
    <w:rsid w:val="006D71EF"/>
    <w:rsid w:val="006E0240"/>
    <w:rsid w:val="006E0435"/>
    <w:rsid w:val="006E0B10"/>
    <w:rsid w:val="006E0B16"/>
    <w:rsid w:val="006E111B"/>
    <w:rsid w:val="006E12D5"/>
    <w:rsid w:val="006E1D68"/>
    <w:rsid w:val="006E22CC"/>
    <w:rsid w:val="006E33FE"/>
    <w:rsid w:val="006E3B45"/>
    <w:rsid w:val="006E44C2"/>
    <w:rsid w:val="006E4AC9"/>
    <w:rsid w:val="006E512D"/>
    <w:rsid w:val="006E53A6"/>
    <w:rsid w:val="006E58B0"/>
    <w:rsid w:val="006E5C3A"/>
    <w:rsid w:val="006E6BB6"/>
    <w:rsid w:val="006E6FC9"/>
    <w:rsid w:val="006E7093"/>
    <w:rsid w:val="006E7496"/>
    <w:rsid w:val="006E7969"/>
    <w:rsid w:val="006E7E03"/>
    <w:rsid w:val="006F0559"/>
    <w:rsid w:val="006F06CA"/>
    <w:rsid w:val="006F0B08"/>
    <w:rsid w:val="006F0C12"/>
    <w:rsid w:val="006F0EB1"/>
    <w:rsid w:val="006F1636"/>
    <w:rsid w:val="006F16B4"/>
    <w:rsid w:val="006F1B12"/>
    <w:rsid w:val="006F1CE8"/>
    <w:rsid w:val="006F2BA4"/>
    <w:rsid w:val="006F2CCB"/>
    <w:rsid w:val="006F2E9D"/>
    <w:rsid w:val="006F314D"/>
    <w:rsid w:val="006F336B"/>
    <w:rsid w:val="006F394C"/>
    <w:rsid w:val="006F3FB2"/>
    <w:rsid w:val="006F45F6"/>
    <w:rsid w:val="006F4D15"/>
    <w:rsid w:val="006F5373"/>
    <w:rsid w:val="006F57A2"/>
    <w:rsid w:val="006F59D4"/>
    <w:rsid w:val="006F5C22"/>
    <w:rsid w:val="006F5CDF"/>
    <w:rsid w:val="006F6139"/>
    <w:rsid w:val="006F6BE1"/>
    <w:rsid w:val="006F71EC"/>
    <w:rsid w:val="006F738F"/>
    <w:rsid w:val="006F7E42"/>
    <w:rsid w:val="0070010E"/>
    <w:rsid w:val="0070023A"/>
    <w:rsid w:val="007005FE"/>
    <w:rsid w:val="00700EC2"/>
    <w:rsid w:val="00700F47"/>
    <w:rsid w:val="007014E9"/>
    <w:rsid w:val="0070193E"/>
    <w:rsid w:val="00701F6B"/>
    <w:rsid w:val="00701F87"/>
    <w:rsid w:val="007027E3"/>
    <w:rsid w:val="00702FB3"/>
    <w:rsid w:val="007032B8"/>
    <w:rsid w:val="007036E5"/>
    <w:rsid w:val="0070452B"/>
    <w:rsid w:val="007047A6"/>
    <w:rsid w:val="00704A52"/>
    <w:rsid w:val="00704C05"/>
    <w:rsid w:val="0070544B"/>
    <w:rsid w:val="00705915"/>
    <w:rsid w:val="00705B53"/>
    <w:rsid w:val="007062DD"/>
    <w:rsid w:val="007063A8"/>
    <w:rsid w:val="007063D4"/>
    <w:rsid w:val="0070696A"/>
    <w:rsid w:val="00706AA3"/>
    <w:rsid w:val="00706D73"/>
    <w:rsid w:val="00706DA9"/>
    <w:rsid w:val="00706E42"/>
    <w:rsid w:val="00707BF4"/>
    <w:rsid w:val="00710815"/>
    <w:rsid w:val="00710994"/>
    <w:rsid w:val="00710D33"/>
    <w:rsid w:val="00710DA9"/>
    <w:rsid w:val="00710FF5"/>
    <w:rsid w:val="0071129C"/>
    <w:rsid w:val="007115FF"/>
    <w:rsid w:val="00711AE4"/>
    <w:rsid w:val="00711C06"/>
    <w:rsid w:val="00711DD0"/>
    <w:rsid w:val="0071263D"/>
    <w:rsid w:val="00712783"/>
    <w:rsid w:val="00712D0F"/>
    <w:rsid w:val="0071374D"/>
    <w:rsid w:val="007137DB"/>
    <w:rsid w:val="007146D9"/>
    <w:rsid w:val="00714D12"/>
    <w:rsid w:val="00714D3C"/>
    <w:rsid w:val="0071537E"/>
    <w:rsid w:val="00715723"/>
    <w:rsid w:val="0071649C"/>
    <w:rsid w:val="0071679E"/>
    <w:rsid w:val="007167B9"/>
    <w:rsid w:val="00717050"/>
    <w:rsid w:val="0071705C"/>
    <w:rsid w:val="00717103"/>
    <w:rsid w:val="00717267"/>
    <w:rsid w:val="007178EE"/>
    <w:rsid w:val="00717944"/>
    <w:rsid w:val="00717C8F"/>
    <w:rsid w:val="00717CA5"/>
    <w:rsid w:val="00720052"/>
    <w:rsid w:val="007201F3"/>
    <w:rsid w:val="00720484"/>
    <w:rsid w:val="007214AF"/>
    <w:rsid w:val="007215B4"/>
    <w:rsid w:val="00721E1D"/>
    <w:rsid w:val="00722153"/>
    <w:rsid w:val="00722752"/>
    <w:rsid w:val="00722BBC"/>
    <w:rsid w:val="00722CD9"/>
    <w:rsid w:val="00723B7C"/>
    <w:rsid w:val="00723D31"/>
    <w:rsid w:val="00724357"/>
    <w:rsid w:val="00724426"/>
    <w:rsid w:val="00724685"/>
    <w:rsid w:val="00724A3E"/>
    <w:rsid w:val="007255DF"/>
    <w:rsid w:val="00725C91"/>
    <w:rsid w:val="00725CB6"/>
    <w:rsid w:val="00726281"/>
    <w:rsid w:val="00726C1B"/>
    <w:rsid w:val="00726E22"/>
    <w:rsid w:val="00727602"/>
    <w:rsid w:val="0073049F"/>
    <w:rsid w:val="00730B78"/>
    <w:rsid w:val="0073128B"/>
    <w:rsid w:val="007312CB"/>
    <w:rsid w:val="0073171A"/>
    <w:rsid w:val="007320DF"/>
    <w:rsid w:val="0073278B"/>
    <w:rsid w:val="00732C69"/>
    <w:rsid w:val="007334F0"/>
    <w:rsid w:val="00733739"/>
    <w:rsid w:val="007339A9"/>
    <w:rsid w:val="00733B9B"/>
    <w:rsid w:val="00733F25"/>
    <w:rsid w:val="00733FA0"/>
    <w:rsid w:val="0073446C"/>
    <w:rsid w:val="00734686"/>
    <w:rsid w:val="007347C0"/>
    <w:rsid w:val="00734C0F"/>
    <w:rsid w:val="007354B7"/>
    <w:rsid w:val="007355A9"/>
    <w:rsid w:val="00735D01"/>
    <w:rsid w:val="00735DF3"/>
    <w:rsid w:val="0073642C"/>
    <w:rsid w:val="00736B96"/>
    <w:rsid w:val="00736BD5"/>
    <w:rsid w:val="00736BED"/>
    <w:rsid w:val="00736E2F"/>
    <w:rsid w:val="0073725A"/>
    <w:rsid w:val="007377ED"/>
    <w:rsid w:val="007378C1"/>
    <w:rsid w:val="00740497"/>
    <w:rsid w:val="00740A0A"/>
    <w:rsid w:val="00740CED"/>
    <w:rsid w:val="0074108B"/>
    <w:rsid w:val="00741B54"/>
    <w:rsid w:val="007420C9"/>
    <w:rsid w:val="007422C5"/>
    <w:rsid w:val="007423BE"/>
    <w:rsid w:val="007430EE"/>
    <w:rsid w:val="00744055"/>
    <w:rsid w:val="0074411E"/>
    <w:rsid w:val="00744314"/>
    <w:rsid w:val="00744F4E"/>
    <w:rsid w:val="007450D9"/>
    <w:rsid w:val="007456D2"/>
    <w:rsid w:val="0074576E"/>
    <w:rsid w:val="0074602F"/>
    <w:rsid w:val="00746873"/>
    <w:rsid w:val="00746D56"/>
    <w:rsid w:val="00746FA0"/>
    <w:rsid w:val="00747446"/>
    <w:rsid w:val="00747915"/>
    <w:rsid w:val="00747F05"/>
    <w:rsid w:val="00750292"/>
    <w:rsid w:val="0075066D"/>
    <w:rsid w:val="00750A08"/>
    <w:rsid w:val="00751651"/>
    <w:rsid w:val="0075170D"/>
    <w:rsid w:val="0075179E"/>
    <w:rsid w:val="00751C37"/>
    <w:rsid w:val="00752485"/>
    <w:rsid w:val="00752715"/>
    <w:rsid w:val="007529E9"/>
    <w:rsid w:val="00752A9F"/>
    <w:rsid w:val="00752C63"/>
    <w:rsid w:val="00752E1F"/>
    <w:rsid w:val="00752FE7"/>
    <w:rsid w:val="00753273"/>
    <w:rsid w:val="00753440"/>
    <w:rsid w:val="0075368B"/>
    <w:rsid w:val="00753754"/>
    <w:rsid w:val="00753819"/>
    <w:rsid w:val="00753DAC"/>
    <w:rsid w:val="00753DDF"/>
    <w:rsid w:val="0075405C"/>
    <w:rsid w:val="00754E83"/>
    <w:rsid w:val="00754FB6"/>
    <w:rsid w:val="00755151"/>
    <w:rsid w:val="00755B06"/>
    <w:rsid w:val="00755F32"/>
    <w:rsid w:val="0075603B"/>
    <w:rsid w:val="007562AF"/>
    <w:rsid w:val="00756C09"/>
    <w:rsid w:val="00756CBA"/>
    <w:rsid w:val="007570E6"/>
    <w:rsid w:val="00757819"/>
    <w:rsid w:val="00757A61"/>
    <w:rsid w:val="00757C96"/>
    <w:rsid w:val="007600A8"/>
    <w:rsid w:val="00760127"/>
    <w:rsid w:val="00760D38"/>
    <w:rsid w:val="00760D79"/>
    <w:rsid w:val="007613DE"/>
    <w:rsid w:val="007619FB"/>
    <w:rsid w:val="0076208E"/>
    <w:rsid w:val="00762874"/>
    <w:rsid w:val="00762924"/>
    <w:rsid w:val="00762D30"/>
    <w:rsid w:val="00763339"/>
    <w:rsid w:val="00763355"/>
    <w:rsid w:val="00763522"/>
    <w:rsid w:val="007636FA"/>
    <w:rsid w:val="00763F94"/>
    <w:rsid w:val="00763FE8"/>
    <w:rsid w:val="00764E02"/>
    <w:rsid w:val="00764E0A"/>
    <w:rsid w:val="00764E1D"/>
    <w:rsid w:val="00765327"/>
    <w:rsid w:val="007658C1"/>
    <w:rsid w:val="00765A4D"/>
    <w:rsid w:val="00765D12"/>
    <w:rsid w:val="00765DE2"/>
    <w:rsid w:val="00765E4F"/>
    <w:rsid w:val="007661E2"/>
    <w:rsid w:val="007667F5"/>
    <w:rsid w:val="00766BFB"/>
    <w:rsid w:val="007670DD"/>
    <w:rsid w:val="00767595"/>
    <w:rsid w:val="007678B6"/>
    <w:rsid w:val="007703F9"/>
    <w:rsid w:val="00771F52"/>
    <w:rsid w:val="00772012"/>
    <w:rsid w:val="007721AD"/>
    <w:rsid w:val="007726FB"/>
    <w:rsid w:val="00772D15"/>
    <w:rsid w:val="00772DC3"/>
    <w:rsid w:val="00773141"/>
    <w:rsid w:val="00773D67"/>
    <w:rsid w:val="007741F6"/>
    <w:rsid w:val="00774BC1"/>
    <w:rsid w:val="00774E2E"/>
    <w:rsid w:val="00774E65"/>
    <w:rsid w:val="00774E6B"/>
    <w:rsid w:val="0077550F"/>
    <w:rsid w:val="00775E07"/>
    <w:rsid w:val="00775F11"/>
    <w:rsid w:val="00775F63"/>
    <w:rsid w:val="00775FED"/>
    <w:rsid w:val="007768F2"/>
    <w:rsid w:val="00776924"/>
    <w:rsid w:val="007769AE"/>
    <w:rsid w:val="00776E9E"/>
    <w:rsid w:val="00776FD4"/>
    <w:rsid w:val="00777126"/>
    <w:rsid w:val="007773CD"/>
    <w:rsid w:val="00777C3F"/>
    <w:rsid w:val="00777EE9"/>
    <w:rsid w:val="00780095"/>
    <w:rsid w:val="00780732"/>
    <w:rsid w:val="0078095A"/>
    <w:rsid w:val="0078146E"/>
    <w:rsid w:val="0078165E"/>
    <w:rsid w:val="00781B9A"/>
    <w:rsid w:val="00781E89"/>
    <w:rsid w:val="0078243D"/>
    <w:rsid w:val="007831B0"/>
    <w:rsid w:val="00783659"/>
    <w:rsid w:val="0078380D"/>
    <w:rsid w:val="00783BCC"/>
    <w:rsid w:val="00783DAD"/>
    <w:rsid w:val="00784702"/>
    <w:rsid w:val="0078477E"/>
    <w:rsid w:val="007847B9"/>
    <w:rsid w:val="00784FF6"/>
    <w:rsid w:val="007851E5"/>
    <w:rsid w:val="0078562A"/>
    <w:rsid w:val="0078607E"/>
    <w:rsid w:val="007860C0"/>
    <w:rsid w:val="00786272"/>
    <w:rsid w:val="007864B2"/>
    <w:rsid w:val="00786620"/>
    <w:rsid w:val="00786D0A"/>
    <w:rsid w:val="007870D5"/>
    <w:rsid w:val="00787736"/>
    <w:rsid w:val="0078797C"/>
    <w:rsid w:val="007879DA"/>
    <w:rsid w:val="00787A55"/>
    <w:rsid w:val="00787FF1"/>
    <w:rsid w:val="00790693"/>
    <w:rsid w:val="00790843"/>
    <w:rsid w:val="00790A75"/>
    <w:rsid w:val="00790B6B"/>
    <w:rsid w:val="00791675"/>
    <w:rsid w:val="007916D2"/>
    <w:rsid w:val="007919EA"/>
    <w:rsid w:val="00792A72"/>
    <w:rsid w:val="00792ECC"/>
    <w:rsid w:val="007937FC"/>
    <w:rsid w:val="0079380A"/>
    <w:rsid w:val="007938CC"/>
    <w:rsid w:val="007939C7"/>
    <w:rsid w:val="00793F07"/>
    <w:rsid w:val="00794044"/>
    <w:rsid w:val="007940AC"/>
    <w:rsid w:val="00794173"/>
    <w:rsid w:val="0079484F"/>
    <w:rsid w:val="00794DA6"/>
    <w:rsid w:val="007955A1"/>
    <w:rsid w:val="00795709"/>
    <w:rsid w:val="007958CB"/>
    <w:rsid w:val="0079592D"/>
    <w:rsid w:val="00795EAF"/>
    <w:rsid w:val="00796DA0"/>
    <w:rsid w:val="0079730E"/>
    <w:rsid w:val="0079740B"/>
    <w:rsid w:val="0079740D"/>
    <w:rsid w:val="00797FAE"/>
    <w:rsid w:val="00797FCF"/>
    <w:rsid w:val="007A00DB"/>
    <w:rsid w:val="007A06C7"/>
    <w:rsid w:val="007A0BD4"/>
    <w:rsid w:val="007A0D8D"/>
    <w:rsid w:val="007A1B63"/>
    <w:rsid w:val="007A1BE6"/>
    <w:rsid w:val="007A2BFF"/>
    <w:rsid w:val="007A2D0A"/>
    <w:rsid w:val="007A33C1"/>
    <w:rsid w:val="007A33FF"/>
    <w:rsid w:val="007A3972"/>
    <w:rsid w:val="007A3E54"/>
    <w:rsid w:val="007A4C0C"/>
    <w:rsid w:val="007A5055"/>
    <w:rsid w:val="007A50CD"/>
    <w:rsid w:val="007A517B"/>
    <w:rsid w:val="007A52E0"/>
    <w:rsid w:val="007A5493"/>
    <w:rsid w:val="007A5A5A"/>
    <w:rsid w:val="007A5BC2"/>
    <w:rsid w:val="007A618D"/>
    <w:rsid w:val="007A64DC"/>
    <w:rsid w:val="007A69C0"/>
    <w:rsid w:val="007A6CE6"/>
    <w:rsid w:val="007A6E66"/>
    <w:rsid w:val="007A765B"/>
    <w:rsid w:val="007A7B13"/>
    <w:rsid w:val="007A7D00"/>
    <w:rsid w:val="007B0253"/>
    <w:rsid w:val="007B05FB"/>
    <w:rsid w:val="007B0E3D"/>
    <w:rsid w:val="007B1061"/>
    <w:rsid w:val="007B1306"/>
    <w:rsid w:val="007B14F7"/>
    <w:rsid w:val="007B163E"/>
    <w:rsid w:val="007B1B64"/>
    <w:rsid w:val="007B2638"/>
    <w:rsid w:val="007B29B0"/>
    <w:rsid w:val="007B2D8B"/>
    <w:rsid w:val="007B3104"/>
    <w:rsid w:val="007B3D17"/>
    <w:rsid w:val="007B4172"/>
    <w:rsid w:val="007B448A"/>
    <w:rsid w:val="007B4B0D"/>
    <w:rsid w:val="007B4C6D"/>
    <w:rsid w:val="007B4E3F"/>
    <w:rsid w:val="007B522A"/>
    <w:rsid w:val="007B6655"/>
    <w:rsid w:val="007B7275"/>
    <w:rsid w:val="007B75BE"/>
    <w:rsid w:val="007B76EB"/>
    <w:rsid w:val="007B78A9"/>
    <w:rsid w:val="007C09E4"/>
    <w:rsid w:val="007C0AEA"/>
    <w:rsid w:val="007C0D29"/>
    <w:rsid w:val="007C0D95"/>
    <w:rsid w:val="007C0E3C"/>
    <w:rsid w:val="007C0F3A"/>
    <w:rsid w:val="007C1537"/>
    <w:rsid w:val="007C1B05"/>
    <w:rsid w:val="007C2102"/>
    <w:rsid w:val="007C21FE"/>
    <w:rsid w:val="007C26B2"/>
    <w:rsid w:val="007C33FC"/>
    <w:rsid w:val="007C418B"/>
    <w:rsid w:val="007C41C7"/>
    <w:rsid w:val="007C42C0"/>
    <w:rsid w:val="007C45F8"/>
    <w:rsid w:val="007C508D"/>
    <w:rsid w:val="007C52ED"/>
    <w:rsid w:val="007C537E"/>
    <w:rsid w:val="007C53A1"/>
    <w:rsid w:val="007C5937"/>
    <w:rsid w:val="007C5BC2"/>
    <w:rsid w:val="007C5DB6"/>
    <w:rsid w:val="007C64BC"/>
    <w:rsid w:val="007C6714"/>
    <w:rsid w:val="007C675F"/>
    <w:rsid w:val="007C6835"/>
    <w:rsid w:val="007C69E2"/>
    <w:rsid w:val="007C6A2D"/>
    <w:rsid w:val="007C6D9B"/>
    <w:rsid w:val="007C7027"/>
    <w:rsid w:val="007C7695"/>
    <w:rsid w:val="007C7EF3"/>
    <w:rsid w:val="007D0118"/>
    <w:rsid w:val="007D014E"/>
    <w:rsid w:val="007D04BF"/>
    <w:rsid w:val="007D0692"/>
    <w:rsid w:val="007D09C1"/>
    <w:rsid w:val="007D11B6"/>
    <w:rsid w:val="007D1B65"/>
    <w:rsid w:val="007D1B7C"/>
    <w:rsid w:val="007D1E5F"/>
    <w:rsid w:val="007D2045"/>
    <w:rsid w:val="007D215E"/>
    <w:rsid w:val="007D217D"/>
    <w:rsid w:val="007D225F"/>
    <w:rsid w:val="007D2C12"/>
    <w:rsid w:val="007D2D82"/>
    <w:rsid w:val="007D4224"/>
    <w:rsid w:val="007D4834"/>
    <w:rsid w:val="007D4FF2"/>
    <w:rsid w:val="007D512C"/>
    <w:rsid w:val="007D526F"/>
    <w:rsid w:val="007D56B0"/>
    <w:rsid w:val="007D5794"/>
    <w:rsid w:val="007D57EB"/>
    <w:rsid w:val="007D58C9"/>
    <w:rsid w:val="007D5BD7"/>
    <w:rsid w:val="007D62B4"/>
    <w:rsid w:val="007D66F0"/>
    <w:rsid w:val="007D68F4"/>
    <w:rsid w:val="007D6F4A"/>
    <w:rsid w:val="007D7042"/>
    <w:rsid w:val="007D7059"/>
    <w:rsid w:val="007D7618"/>
    <w:rsid w:val="007D7A3E"/>
    <w:rsid w:val="007D7B54"/>
    <w:rsid w:val="007E040A"/>
    <w:rsid w:val="007E0BAA"/>
    <w:rsid w:val="007E0C8C"/>
    <w:rsid w:val="007E1479"/>
    <w:rsid w:val="007E1BF0"/>
    <w:rsid w:val="007E1C10"/>
    <w:rsid w:val="007E1CB1"/>
    <w:rsid w:val="007E201B"/>
    <w:rsid w:val="007E218F"/>
    <w:rsid w:val="007E2587"/>
    <w:rsid w:val="007E276E"/>
    <w:rsid w:val="007E2B64"/>
    <w:rsid w:val="007E3051"/>
    <w:rsid w:val="007E30A8"/>
    <w:rsid w:val="007E3568"/>
    <w:rsid w:val="007E4094"/>
    <w:rsid w:val="007E4156"/>
    <w:rsid w:val="007E422D"/>
    <w:rsid w:val="007E4238"/>
    <w:rsid w:val="007E4E4F"/>
    <w:rsid w:val="007E509B"/>
    <w:rsid w:val="007E580A"/>
    <w:rsid w:val="007E5F63"/>
    <w:rsid w:val="007E6250"/>
    <w:rsid w:val="007E6477"/>
    <w:rsid w:val="007E6551"/>
    <w:rsid w:val="007E686B"/>
    <w:rsid w:val="007E69B2"/>
    <w:rsid w:val="007E6D46"/>
    <w:rsid w:val="007E6DA8"/>
    <w:rsid w:val="007E7257"/>
    <w:rsid w:val="007E7977"/>
    <w:rsid w:val="007E7A3E"/>
    <w:rsid w:val="007F02B6"/>
    <w:rsid w:val="007F05E0"/>
    <w:rsid w:val="007F08C7"/>
    <w:rsid w:val="007F0AE2"/>
    <w:rsid w:val="007F0DD3"/>
    <w:rsid w:val="007F163D"/>
    <w:rsid w:val="007F1802"/>
    <w:rsid w:val="007F1A2B"/>
    <w:rsid w:val="007F1C1B"/>
    <w:rsid w:val="007F1F2E"/>
    <w:rsid w:val="007F202B"/>
    <w:rsid w:val="007F2094"/>
    <w:rsid w:val="007F2D82"/>
    <w:rsid w:val="007F2DBB"/>
    <w:rsid w:val="007F2ED4"/>
    <w:rsid w:val="007F31B4"/>
    <w:rsid w:val="007F3BCA"/>
    <w:rsid w:val="007F3BEA"/>
    <w:rsid w:val="007F3FB0"/>
    <w:rsid w:val="007F454A"/>
    <w:rsid w:val="007F4981"/>
    <w:rsid w:val="007F49CD"/>
    <w:rsid w:val="007F4E99"/>
    <w:rsid w:val="007F4F2A"/>
    <w:rsid w:val="007F513A"/>
    <w:rsid w:val="007F5D4A"/>
    <w:rsid w:val="007F6223"/>
    <w:rsid w:val="007F6562"/>
    <w:rsid w:val="007F65F2"/>
    <w:rsid w:val="007F66DF"/>
    <w:rsid w:val="007F773D"/>
    <w:rsid w:val="007F7864"/>
    <w:rsid w:val="00800184"/>
    <w:rsid w:val="00800967"/>
    <w:rsid w:val="00800A5F"/>
    <w:rsid w:val="00801838"/>
    <w:rsid w:val="00801909"/>
    <w:rsid w:val="00801F5B"/>
    <w:rsid w:val="00801F82"/>
    <w:rsid w:val="00802AC5"/>
    <w:rsid w:val="00802F1F"/>
    <w:rsid w:val="00803016"/>
    <w:rsid w:val="00803203"/>
    <w:rsid w:val="00804117"/>
    <w:rsid w:val="00804626"/>
    <w:rsid w:val="00804867"/>
    <w:rsid w:val="00804875"/>
    <w:rsid w:val="00804B2F"/>
    <w:rsid w:val="00805DA9"/>
    <w:rsid w:val="008064A1"/>
    <w:rsid w:val="008064F4"/>
    <w:rsid w:val="00806901"/>
    <w:rsid w:val="00806A9F"/>
    <w:rsid w:val="00806B9C"/>
    <w:rsid w:val="00807316"/>
    <w:rsid w:val="0080770D"/>
    <w:rsid w:val="00807D28"/>
    <w:rsid w:val="00807D5E"/>
    <w:rsid w:val="00807FA6"/>
    <w:rsid w:val="0081012C"/>
    <w:rsid w:val="008102B3"/>
    <w:rsid w:val="00810847"/>
    <w:rsid w:val="00811036"/>
    <w:rsid w:val="008117E7"/>
    <w:rsid w:val="00811DF9"/>
    <w:rsid w:val="008120CC"/>
    <w:rsid w:val="008122CD"/>
    <w:rsid w:val="008123D5"/>
    <w:rsid w:val="008127B0"/>
    <w:rsid w:val="008142C7"/>
    <w:rsid w:val="0081433F"/>
    <w:rsid w:val="008147F9"/>
    <w:rsid w:val="00814B5E"/>
    <w:rsid w:val="00814B7D"/>
    <w:rsid w:val="00814C44"/>
    <w:rsid w:val="00814F19"/>
    <w:rsid w:val="008155DF"/>
    <w:rsid w:val="008156A0"/>
    <w:rsid w:val="00815706"/>
    <w:rsid w:val="00815A88"/>
    <w:rsid w:val="0081618F"/>
    <w:rsid w:val="008162DE"/>
    <w:rsid w:val="0081681E"/>
    <w:rsid w:val="00816C82"/>
    <w:rsid w:val="00817025"/>
    <w:rsid w:val="00817F38"/>
    <w:rsid w:val="00820759"/>
    <w:rsid w:val="0082081A"/>
    <w:rsid w:val="00820B06"/>
    <w:rsid w:val="00820CCC"/>
    <w:rsid w:val="00820E25"/>
    <w:rsid w:val="00821167"/>
    <w:rsid w:val="00821737"/>
    <w:rsid w:val="00821B0B"/>
    <w:rsid w:val="00821D40"/>
    <w:rsid w:val="00821E1C"/>
    <w:rsid w:val="00822518"/>
    <w:rsid w:val="00822B12"/>
    <w:rsid w:val="00822E95"/>
    <w:rsid w:val="008230CC"/>
    <w:rsid w:val="008237B2"/>
    <w:rsid w:val="008237E4"/>
    <w:rsid w:val="00824430"/>
    <w:rsid w:val="008244A7"/>
    <w:rsid w:val="008245B7"/>
    <w:rsid w:val="00824A05"/>
    <w:rsid w:val="00825F40"/>
    <w:rsid w:val="00826190"/>
    <w:rsid w:val="00826415"/>
    <w:rsid w:val="008265CC"/>
    <w:rsid w:val="0082765A"/>
    <w:rsid w:val="008278D7"/>
    <w:rsid w:val="008279D1"/>
    <w:rsid w:val="00827A8A"/>
    <w:rsid w:val="00827D06"/>
    <w:rsid w:val="00830023"/>
    <w:rsid w:val="008303CE"/>
    <w:rsid w:val="00830D0A"/>
    <w:rsid w:val="00830D11"/>
    <w:rsid w:val="00831087"/>
    <w:rsid w:val="00831095"/>
    <w:rsid w:val="008314F0"/>
    <w:rsid w:val="008319D3"/>
    <w:rsid w:val="00832C18"/>
    <w:rsid w:val="00832D71"/>
    <w:rsid w:val="008330F0"/>
    <w:rsid w:val="00833610"/>
    <w:rsid w:val="0083388D"/>
    <w:rsid w:val="008338BF"/>
    <w:rsid w:val="0083411C"/>
    <w:rsid w:val="008341C0"/>
    <w:rsid w:val="008343CB"/>
    <w:rsid w:val="00834440"/>
    <w:rsid w:val="00834512"/>
    <w:rsid w:val="00835544"/>
    <w:rsid w:val="008355BB"/>
    <w:rsid w:val="00835967"/>
    <w:rsid w:val="00835B82"/>
    <w:rsid w:val="0083657B"/>
    <w:rsid w:val="00836762"/>
    <w:rsid w:val="0083707E"/>
    <w:rsid w:val="008379D4"/>
    <w:rsid w:val="00837CCC"/>
    <w:rsid w:val="00837D87"/>
    <w:rsid w:val="0084059F"/>
    <w:rsid w:val="00840634"/>
    <w:rsid w:val="00841378"/>
    <w:rsid w:val="008413F5"/>
    <w:rsid w:val="00841875"/>
    <w:rsid w:val="00841D09"/>
    <w:rsid w:val="00841E9F"/>
    <w:rsid w:val="00842061"/>
    <w:rsid w:val="0084230D"/>
    <w:rsid w:val="00842778"/>
    <w:rsid w:val="00842AC6"/>
    <w:rsid w:val="00843164"/>
    <w:rsid w:val="008432A8"/>
    <w:rsid w:val="008432D7"/>
    <w:rsid w:val="00843869"/>
    <w:rsid w:val="00843971"/>
    <w:rsid w:val="00843AFD"/>
    <w:rsid w:val="00843B71"/>
    <w:rsid w:val="00843B9A"/>
    <w:rsid w:val="00843BDF"/>
    <w:rsid w:val="00843EC2"/>
    <w:rsid w:val="00844468"/>
    <w:rsid w:val="008444F8"/>
    <w:rsid w:val="00845054"/>
    <w:rsid w:val="0084554A"/>
    <w:rsid w:val="00845F51"/>
    <w:rsid w:val="00846069"/>
    <w:rsid w:val="00846346"/>
    <w:rsid w:val="0084637B"/>
    <w:rsid w:val="00846467"/>
    <w:rsid w:val="00846653"/>
    <w:rsid w:val="00847483"/>
    <w:rsid w:val="0084760D"/>
    <w:rsid w:val="00847991"/>
    <w:rsid w:val="00847C4D"/>
    <w:rsid w:val="00847C4E"/>
    <w:rsid w:val="008500F9"/>
    <w:rsid w:val="0085172A"/>
    <w:rsid w:val="008517E2"/>
    <w:rsid w:val="00852B27"/>
    <w:rsid w:val="00852FB0"/>
    <w:rsid w:val="008532B1"/>
    <w:rsid w:val="008535B0"/>
    <w:rsid w:val="00853A21"/>
    <w:rsid w:val="00853BD0"/>
    <w:rsid w:val="008545B2"/>
    <w:rsid w:val="00854983"/>
    <w:rsid w:val="00854DBE"/>
    <w:rsid w:val="008554AD"/>
    <w:rsid w:val="00855C75"/>
    <w:rsid w:val="00855DCC"/>
    <w:rsid w:val="0085611A"/>
    <w:rsid w:val="0085652F"/>
    <w:rsid w:val="008569DF"/>
    <w:rsid w:val="00856B6B"/>
    <w:rsid w:val="00856E4A"/>
    <w:rsid w:val="00856EEA"/>
    <w:rsid w:val="008579B1"/>
    <w:rsid w:val="00857DB5"/>
    <w:rsid w:val="00857DCD"/>
    <w:rsid w:val="00857E98"/>
    <w:rsid w:val="00857F97"/>
    <w:rsid w:val="0086007E"/>
    <w:rsid w:val="00860123"/>
    <w:rsid w:val="0086037F"/>
    <w:rsid w:val="00860ED8"/>
    <w:rsid w:val="0086110C"/>
    <w:rsid w:val="0086119E"/>
    <w:rsid w:val="008614CF"/>
    <w:rsid w:val="00861B0E"/>
    <w:rsid w:val="00861B16"/>
    <w:rsid w:val="00861B41"/>
    <w:rsid w:val="00861CCB"/>
    <w:rsid w:val="00861DA1"/>
    <w:rsid w:val="00862173"/>
    <w:rsid w:val="008621F7"/>
    <w:rsid w:val="008626B0"/>
    <w:rsid w:val="00862CC1"/>
    <w:rsid w:val="00862EAC"/>
    <w:rsid w:val="00862F31"/>
    <w:rsid w:val="008631F5"/>
    <w:rsid w:val="00863977"/>
    <w:rsid w:val="00863D7E"/>
    <w:rsid w:val="00864A2A"/>
    <w:rsid w:val="00865DE1"/>
    <w:rsid w:val="00866215"/>
    <w:rsid w:val="00866A3D"/>
    <w:rsid w:val="0086711C"/>
    <w:rsid w:val="00867BB4"/>
    <w:rsid w:val="00867BCE"/>
    <w:rsid w:val="00870751"/>
    <w:rsid w:val="00870793"/>
    <w:rsid w:val="008718AC"/>
    <w:rsid w:val="00871BB9"/>
    <w:rsid w:val="00871EED"/>
    <w:rsid w:val="008721B8"/>
    <w:rsid w:val="008734E7"/>
    <w:rsid w:val="0087404E"/>
    <w:rsid w:val="008744DD"/>
    <w:rsid w:val="00874AF7"/>
    <w:rsid w:val="00874C48"/>
    <w:rsid w:val="0087504C"/>
    <w:rsid w:val="008751A1"/>
    <w:rsid w:val="00875394"/>
    <w:rsid w:val="00875905"/>
    <w:rsid w:val="0087590E"/>
    <w:rsid w:val="00875A98"/>
    <w:rsid w:val="008765C8"/>
    <w:rsid w:val="008766CF"/>
    <w:rsid w:val="00876B38"/>
    <w:rsid w:val="00876C1A"/>
    <w:rsid w:val="00876F1A"/>
    <w:rsid w:val="00877149"/>
    <w:rsid w:val="00877C35"/>
    <w:rsid w:val="00877D11"/>
    <w:rsid w:val="00877FA3"/>
    <w:rsid w:val="008807CE"/>
    <w:rsid w:val="008810FA"/>
    <w:rsid w:val="0088124B"/>
    <w:rsid w:val="008813B7"/>
    <w:rsid w:val="008816E9"/>
    <w:rsid w:val="00881714"/>
    <w:rsid w:val="00881DA9"/>
    <w:rsid w:val="00882A4D"/>
    <w:rsid w:val="00883004"/>
    <w:rsid w:val="008830C6"/>
    <w:rsid w:val="008833AD"/>
    <w:rsid w:val="008837B8"/>
    <w:rsid w:val="00883C93"/>
    <w:rsid w:val="00883ED6"/>
    <w:rsid w:val="008843EC"/>
    <w:rsid w:val="0088441D"/>
    <w:rsid w:val="00884E90"/>
    <w:rsid w:val="0088533D"/>
    <w:rsid w:val="00885359"/>
    <w:rsid w:val="0088579F"/>
    <w:rsid w:val="008859D4"/>
    <w:rsid w:val="00885B2E"/>
    <w:rsid w:val="00885C5A"/>
    <w:rsid w:val="008862C1"/>
    <w:rsid w:val="008867CF"/>
    <w:rsid w:val="0088696C"/>
    <w:rsid w:val="00886AFF"/>
    <w:rsid w:val="00886BA1"/>
    <w:rsid w:val="0088736F"/>
    <w:rsid w:val="00887771"/>
    <w:rsid w:val="00887854"/>
    <w:rsid w:val="00887BD6"/>
    <w:rsid w:val="00887F2E"/>
    <w:rsid w:val="00890207"/>
    <w:rsid w:val="00890415"/>
    <w:rsid w:val="008907B2"/>
    <w:rsid w:val="008908A2"/>
    <w:rsid w:val="00890BCD"/>
    <w:rsid w:val="00890C19"/>
    <w:rsid w:val="00891046"/>
    <w:rsid w:val="008914A6"/>
    <w:rsid w:val="00891863"/>
    <w:rsid w:val="008918DD"/>
    <w:rsid w:val="00891DD0"/>
    <w:rsid w:val="00891F14"/>
    <w:rsid w:val="008922DF"/>
    <w:rsid w:val="008928F8"/>
    <w:rsid w:val="0089290E"/>
    <w:rsid w:val="00892C2E"/>
    <w:rsid w:val="00892CC7"/>
    <w:rsid w:val="00893200"/>
    <w:rsid w:val="0089357C"/>
    <w:rsid w:val="008938BE"/>
    <w:rsid w:val="00893CDA"/>
    <w:rsid w:val="008949CC"/>
    <w:rsid w:val="0089549F"/>
    <w:rsid w:val="008954B3"/>
    <w:rsid w:val="00895514"/>
    <w:rsid w:val="008958EF"/>
    <w:rsid w:val="008959F1"/>
    <w:rsid w:val="00895F27"/>
    <w:rsid w:val="0089662B"/>
    <w:rsid w:val="008969AE"/>
    <w:rsid w:val="00896DE8"/>
    <w:rsid w:val="008970B5"/>
    <w:rsid w:val="008971D9"/>
    <w:rsid w:val="00897DAB"/>
    <w:rsid w:val="00897E2F"/>
    <w:rsid w:val="00897E53"/>
    <w:rsid w:val="008A0473"/>
    <w:rsid w:val="008A0A67"/>
    <w:rsid w:val="008A16AE"/>
    <w:rsid w:val="008A1DB7"/>
    <w:rsid w:val="008A24BD"/>
    <w:rsid w:val="008A2525"/>
    <w:rsid w:val="008A2593"/>
    <w:rsid w:val="008A2B4D"/>
    <w:rsid w:val="008A366A"/>
    <w:rsid w:val="008A36ED"/>
    <w:rsid w:val="008A38EA"/>
    <w:rsid w:val="008A41D1"/>
    <w:rsid w:val="008A422F"/>
    <w:rsid w:val="008A42D8"/>
    <w:rsid w:val="008A45B1"/>
    <w:rsid w:val="008A58D1"/>
    <w:rsid w:val="008A59E9"/>
    <w:rsid w:val="008A5FE6"/>
    <w:rsid w:val="008A6539"/>
    <w:rsid w:val="008A6605"/>
    <w:rsid w:val="008A668F"/>
    <w:rsid w:val="008A6A11"/>
    <w:rsid w:val="008A6AB6"/>
    <w:rsid w:val="008A6C6F"/>
    <w:rsid w:val="008A6FEC"/>
    <w:rsid w:val="008A7018"/>
    <w:rsid w:val="008A71B7"/>
    <w:rsid w:val="008A72A4"/>
    <w:rsid w:val="008A75C5"/>
    <w:rsid w:val="008A7669"/>
    <w:rsid w:val="008A7819"/>
    <w:rsid w:val="008A7F5C"/>
    <w:rsid w:val="008B01A2"/>
    <w:rsid w:val="008B047A"/>
    <w:rsid w:val="008B0872"/>
    <w:rsid w:val="008B0C51"/>
    <w:rsid w:val="008B0DCC"/>
    <w:rsid w:val="008B0F12"/>
    <w:rsid w:val="008B1651"/>
    <w:rsid w:val="008B1762"/>
    <w:rsid w:val="008B1ECD"/>
    <w:rsid w:val="008B2795"/>
    <w:rsid w:val="008B2DEB"/>
    <w:rsid w:val="008B33DB"/>
    <w:rsid w:val="008B3537"/>
    <w:rsid w:val="008B3D4F"/>
    <w:rsid w:val="008B4427"/>
    <w:rsid w:val="008B4B0D"/>
    <w:rsid w:val="008B4B33"/>
    <w:rsid w:val="008B4C2A"/>
    <w:rsid w:val="008B4CBF"/>
    <w:rsid w:val="008B511C"/>
    <w:rsid w:val="008B5578"/>
    <w:rsid w:val="008B564A"/>
    <w:rsid w:val="008B572F"/>
    <w:rsid w:val="008B573D"/>
    <w:rsid w:val="008B5867"/>
    <w:rsid w:val="008B5A81"/>
    <w:rsid w:val="008B5AB0"/>
    <w:rsid w:val="008B5B56"/>
    <w:rsid w:val="008B6AD5"/>
    <w:rsid w:val="008B6B79"/>
    <w:rsid w:val="008B6FD4"/>
    <w:rsid w:val="008B706E"/>
    <w:rsid w:val="008B7091"/>
    <w:rsid w:val="008B7251"/>
    <w:rsid w:val="008B7441"/>
    <w:rsid w:val="008B7A0E"/>
    <w:rsid w:val="008C0743"/>
    <w:rsid w:val="008C0794"/>
    <w:rsid w:val="008C084B"/>
    <w:rsid w:val="008C0DB5"/>
    <w:rsid w:val="008C0FFE"/>
    <w:rsid w:val="008C1581"/>
    <w:rsid w:val="008C17CD"/>
    <w:rsid w:val="008C1B19"/>
    <w:rsid w:val="008C1D88"/>
    <w:rsid w:val="008C2064"/>
    <w:rsid w:val="008C2453"/>
    <w:rsid w:val="008C2920"/>
    <w:rsid w:val="008C29ED"/>
    <w:rsid w:val="008C32F7"/>
    <w:rsid w:val="008C3887"/>
    <w:rsid w:val="008C4300"/>
    <w:rsid w:val="008C436D"/>
    <w:rsid w:val="008C4853"/>
    <w:rsid w:val="008C48F2"/>
    <w:rsid w:val="008C4B72"/>
    <w:rsid w:val="008C5040"/>
    <w:rsid w:val="008C5BE7"/>
    <w:rsid w:val="008C6B41"/>
    <w:rsid w:val="008C74CC"/>
    <w:rsid w:val="008C7BB3"/>
    <w:rsid w:val="008C7C3C"/>
    <w:rsid w:val="008C7F77"/>
    <w:rsid w:val="008D0514"/>
    <w:rsid w:val="008D095D"/>
    <w:rsid w:val="008D0AA6"/>
    <w:rsid w:val="008D1065"/>
    <w:rsid w:val="008D13DC"/>
    <w:rsid w:val="008D1D78"/>
    <w:rsid w:val="008D1E23"/>
    <w:rsid w:val="008D1F9C"/>
    <w:rsid w:val="008D2461"/>
    <w:rsid w:val="008D2646"/>
    <w:rsid w:val="008D2C0B"/>
    <w:rsid w:val="008D2E80"/>
    <w:rsid w:val="008D3214"/>
    <w:rsid w:val="008D34B7"/>
    <w:rsid w:val="008D39AB"/>
    <w:rsid w:val="008D3D6D"/>
    <w:rsid w:val="008D3FD0"/>
    <w:rsid w:val="008D4025"/>
    <w:rsid w:val="008D479A"/>
    <w:rsid w:val="008D49AA"/>
    <w:rsid w:val="008D4EA1"/>
    <w:rsid w:val="008D5312"/>
    <w:rsid w:val="008D538D"/>
    <w:rsid w:val="008D5516"/>
    <w:rsid w:val="008D5E0F"/>
    <w:rsid w:val="008D5FCD"/>
    <w:rsid w:val="008D6288"/>
    <w:rsid w:val="008D66F9"/>
    <w:rsid w:val="008D6C6B"/>
    <w:rsid w:val="008D6F41"/>
    <w:rsid w:val="008D6F90"/>
    <w:rsid w:val="008D7615"/>
    <w:rsid w:val="008D76A0"/>
    <w:rsid w:val="008D7974"/>
    <w:rsid w:val="008E05A6"/>
    <w:rsid w:val="008E08EB"/>
    <w:rsid w:val="008E099E"/>
    <w:rsid w:val="008E0B7D"/>
    <w:rsid w:val="008E0E8C"/>
    <w:rsid w:val="008E16C5"/>
    <w:rsid w:val="008E1F59"/>
    <w:rsid w:val="008E2051"/>
    <w:rsid w:val="008E2525"/>
    <w:rsid w:val="008E2A1D"/>
    <w:rsid w:val="008E2AD2"/>
    <w:rsid w:val="008E356A"/>
    <w:rsid w:val="008E3BCB"/>
    <w:rsid w:val="008E3BEB"/>
    <w:rsid w:val="008E3CCD"/>
    <w:rsid w:val="008E3D59"/>
    <w:rsid w:val="008E40BD"/>
    <w:rsid w:val="008E412D"/>
    <w:rsid w:val="008E4145"/>
    <w:rsid w:val="008E451A"/>
    <w:rsid w:val="008E455C"/>
    <w:rsid w:val="008E4E8B"/>
    <w:rsid w:val="008E5867"/>
    <w:rsid w:val="008E5D5A"/>
    <w:rsid w:val="008E6032"/>
    <w:rsid w:val="008E6240"/>
    <w:rsid w:val="008E6451"/>
    <w:rsid w:val="008E6D2D"/>
    <w:rsid w:val="008E6E29"/>
    <w:rsid w:val="008E76F3"/>
    <w:rsid w:val="008E78EE"/>
    <w:rsid w:val="008E7A24"/>
    <w:rsid w:val="008E7A59"/>
    <w:rsid w:val="008E7AA4"/>
    <w:rsid w:val="008E7C18"/>
    <w:rsid w:val="008E7DD3"/>
    <w:rsid w:val="008E7FDA"/>
    <w:rsid w:val="008F00FF"/>
    <w:rsid w:val="008F01AB"/>
    <w:rsid w:val="008F1270"/>
    <w:rsid w:val="008F136A"/>
    <w:rsid w:val="008F23C7"/>
    <w:rsid w:val="008F2546"/>
    <w:rsid w:val="008F2A4E"/>
    <w:rsid w:val="008F2F2D"/>
    <w:rsid w:val="008F3132"/>
    <w:rsid w:val="008F3162"/>
    <w:rsid w:val="008F34C0"/>
    <w:rsid w:val="008F364E"/>
    <w:rsid w:val="008F3DC9"/>
    <w:rsid w:val="008F4069"/>
    <w:rsid w:val="008F4107"/>
    <w:rsid w:val="008F4807"/>
    <w:rsid w:val="008F4BFE"/>
    <w:rsid w:val="008F4F27"/>
    <w:rsid w:val="008F56B5"/>
    <w:rsid w:val="008F57CD"/>
    <w:rsid w:val="008F595E"/>
    <w:rsid w:val="008F5BDA"/>
    <w:rsid w:val="008F5DCC"/>
    <w:rsid w:val="008F5E88"/>
    <w:rsid w:val="008F69B4"/>
    <w:rsid w:val="008F6C6F"/>
    <w:rsid w:val="008F70FF"/>
    <w:rsid w:val="008F7620"/>
    <w:rsid w:val="008F7697"/>
    <w:rsid w:val="008F7AEE"/>
    <w:rsid w:val="0090095D"/>
    <w:rsid w:val="00900BAA"/>
    <w:rsid w:val="00900E62"/>
    <w:rsid w:val="00901845"/>
    <w:rsid w:val="00901AAA"/>
    <w:rsid w:val="0090242C"/>
    <w:rsid w:val="00902D62"/>
    <w:rsid w:val="00903281"/>
    <w:rsid w:val="009035F5"/>
    <w:rsid w:val="009037A0"/>
    <w:rsid w:val="00903D3D"/>
    <w:rsid w:val="0090454D"/>
    <w:rsid w:val="009045C7"/>
    <w:rsid w:val="009045EB"/>
    <w:rsid w:val="009046D9"/>
    <w:rsid w:val="009055A7"/>
    <w:rsid w:val="00905641"/>
    <w:rsid w:val="009056A9"/>
    <w:rsid w:val="00905B24"/>
    <w:rsid w:val="00906611"/>
    <w:rsid w:val="009067B8"/>
    <w:rsid w:val="009068CE"/>
    <w:rsid w:val="00906975"/>
    <w:rsid w:val="00906C34"/>
    <w:rsid w:val="00906EED"/>
    <w:rsid w:val="009070C2"/>
    <w:rsid w:val="0090715C"/>
    <w:rsid w:val="009072E2"/>
    <w:rsid w:val="009074D6"/>
    <w:rsid w:val="00907955"/>
    <w:rsid w:val="00910283"/>
    <w:rsid w:val="009108A7"/>
    <w:rsid w:val="00911221"/>
    <w:rsid w:val="00911E1A"/>
    <w:rsid w:val="009123B9"/>
    <w:rsid w:val="00912607"/>
    <w:rsid w:val="00912C76"/>
    <w:rsid w:val="00912DDD"/>
    <w:rsid w:val="00912EA8"/>
    <w:rsid w:val="00912F17"/>
    <w:rsid w:val="0091320A"/>
    <w:rsid w:val="00913E1D"/>
    <w:rsid w:val="00913F4C"/>
    <w:rsid w:val="0091403C"/>
    <w:rsid w:val="0091404B"/>
    <w:rsid w:val="0091423A"/>
    <w:rsid w:val="00914307"/>
    <w:rsid w:val="00914370"/>
    <w:rsid w:val="0091496B"/>
    <w:rsid w:val="00914CA0"/>
    <w:rsid w:val="00914DE2"/>
    <w:rsid w:val="0091537E"/>
    <w:rsid w:val="009154DF"/>
    <w:rsid w:val="00915DE0"/>
    <w:rsid w:val="00916CCF"/>
    <w:rsid w:val="00916DBA"/>
    <w:rsid w:val="009170CB"/>
    <w:rsid w:val="00917215"/>
    <w:rsid w:val="00920208"/>
    <w:rsid w:val="009205A0"/>
    <w:rsid w:val="00920BC8"/>
    <w:rsid w:val="00921169"/>
    <w:rsid w:val="0092160E"/>
    <w:rsid w:val="00921851"/>
    <w:rsid w:val="009218D2"/>
    <w:rsid w:val="00921D14"/>
    <w:rsid w:val="00921D57"/>
    <w:rsid w:val="00921F94"/>
    <w:rsid w:val="00922076"/>
    <w:rsid w:val="00922316"/>
    <w:rsid w:val="0092237B"/>
    <w:rsid w:val="00922BFD"/>
    <w:rsid w:val="00922D51"/>
    <w:rsid w:val="00923494"/>
    <w:rsid w:val="00923564"/>
    <w:rsid w:val="00923610"/>
    <w:rsid w:val="0092398E"/>
    <w:rsid w:val="00923EC3"/>
    <w:rsid w:val="00924CC1"/>
    <w:rsid w:val="0092524D"/>
    <w:rsid w:val="009257B4"/>
    <w:rsid w:val="00925940"/>
    <w:rsid w:val="00925DD1"/>
    <w:rsid w:val="009260EC"/>
    <w:rsid w:val="00926644"/>
    <w:rsid w:val="0092698B"/>
    <w:rsid w:val="00927378"/>
    <w:rsid w:val="009273C5"/>
    <w:rsid w:val="00927462"/>
    <w:rsid w:val="0092769F"/>
    <w:rsid w:val="009276E3"/>
    <w:rsid w:val="00927817"/>
    <w:rsid w:val="00930B4A"/>
    <w:rsid w:val="0093135E"/>
    <w:rsid w:val="00931425"/>
    <w:rsid w:val="00931A0F"/>
    <w:rsid w:val="009321B7"/>
    <w:rsid w:val="00932410"/>
    <w:rsid w:val="009324B1"/>
    <w:rsid w:val="00932575"/>
    <w:rsid w:val="009325D4"/>
    <w:rsid w:val="009327B5"/>
    <w:rsid w:val="00932A88"/>
    <w:rsid w:val="009331DE"/>
    <w:rsid w:val="009331E9"/>
    <w:rsid w:val="00933241"/>
    <w:rsid w:val="00933475"/>
    <w:rsid w:val="00933DE4"/>
    <w:rsid w:val="00933E97"/>
    <w:rsid w:val="00934393"/>
    <w:rsid w:val="00934530"/>
    <w:rsid w:val="00934A88"/>
    <w:rsid w:val="009353FF"/>
    <w:rsid w:val="00935B7C"/>
    <w:rsid w:val="00935FA4"/>
    <w:rsid w:val="009365EB"/>
    <w:rsid w:val="00936F26"/>
    <w:rsid w:val="00936F91"/>
    <w:rsid w:val="009374BF"/>
    <w:rsid w:val="00937998"/>
    <w:rsid w:val="00937FA0"/>
    <w:rsid w:val="0094086F"/>
    <w:rsid w:val="00940AA2"/>
    <w:rsid w:val="00940B68"/>
    <w:rsid w:val="00940B8B"/>
    <w:rsid w:val="00940DF4"/>
    <w:rsid w:val="0094173B"/>
    <w:rsid w:val="00941A1C"/>
    <w:rsid w:val="00942CAE"/>
    <w:rsid w:val="00942DD5"/>
    <w:rsid w:val="00943048"/>
    <w:rsid w:val="0094335F"/>
    <w:rsid w:val="00943393"/>
    <w:rsid w:val="00943704"/>
    <w:rsid w:val="00943971"/>
    <w:rsid w:val="00943AB1"/>
    <w:rsid w:val="00944202"/>
    <w:rsid w:val="009447AE"/>
    <w:rsid w:val="00944A81"/>
    <w:rsid w:val="00944E29"/>
    <w:rsid w:val="00944F9F"/>
    <w:rsid w:val="00945781"/>
    <w:rsid w:val="009459ED"/>
    <w:rsid w:val="00945DFF"/>
    <w:rsid w:val="00945E49"/>
    <w:rsid w:val="00945E7C"/>
    <w:rsid w:val="009462D8"/>
    <w:rsid w:val="00946388"/>
    <w:rsid w:val="00946E0D"/>
    <w:rsid w:val="00947019"/>
    <w:rsid w:val="009470FD"/>
    <w:rsid w:val="009471B5"/>
    <w:rsid w:val="009479EA"/>
    <w:rsid w:val="00947A3D"/>
    <w:rsid w:val="00947A52"/>
    <w:rsid w:val="00947C1A"/>
    <w:rsid w:val="00950066"/>
    <w:rsid w:val="0095014D"/>
    <w:rsid w:val="00950267"/>
    <w:rsid w:val="00950A37"/>
    <w:rsid w:val="00950B69"/>
    <w:rsid w:val="00950D25"/>
    <w:rsid w:val="009513AD"/>
    <w:rsid w:val="009515E0"/>
    <w:rsid w:val="00951995"/>
    <w:rsid w:val="00951B63"/>
    <w:rsid w:val="00951C7E"/>
    <w:rsid w:val="00951CF6"/>
    <w:rsid w:val="00951EA3"/>
    <w:rsid w:val="00951F18"/>
    <w:rsid w:val="009520A6"/>
    <w:rsid w:val="00952D88"/>
    <w:rsid w:val="009536DA"/>
    <w:rsid w:val="009537A7"/>
    <w:rsid w:val="009547FE"/>
    <w:rsid w:val="009548C3"/>
    <w:rsid w:val="0095506D"/>
    <w:rsid w:val="0095526B"/>
    <w:rsid w:val="0095535D"/>
    <w:rsid w:val="009555E2"/>
    <w:rsid w:val="00955A31"/>
    <w:rsid w:val="009567AF"/>
    <w:rsid w:val="0095685B"/>
    <w:rsid w:val="00956DFD"/>
    <w:rsid w:val="009572CB"/>
    <w:rsid w:val="00957679"/>
    <w:rsid w:val="009576C5"/>
    <w:rsid w:val="009578C7"/>
    <w:rsid w:val="00957B1E"/>
    <w:rsid w:val="00957C19"/>
    <w:rsid w:val="00957D9C"/>
    <w:rsid w:val="00960375"/>
    <w:rsid w:val="00960C23"/>
    <w:rsid w:val="00960DC9"/>
    <w:rsid w:val="00960F93"/>
    <w:rsid w:val="009612B6"/>
    <w:rsid w:val="009612F1"/>
    <w:rsid w:val="00961B8B"/>
    <w:rsid w:val="00961B91"/>
    <w:rsid w:val="00961BF6"/>
    <w:rsid w:val="00962117"/>
    <w:rsid w:val="00962AA0"/>
    <w:rsid w:val="00962CB3"/>
    <w:rsid w:val="00963164"/>
    <w:rsid w:val="00963275"/>
    <w:rsid w:val="0096347D"/>
    <w:rsid w:val="00963654"/>
    <w:rsid w:val="00963CD6"/>
    <w:rsid w:val="00963D92"/>
    <w:rsid w:val="00963F43"/>
    <w:rsid w:val="009646FA"/>
    <w:rsid w:val="0096493A"/>
    <w:rsid w:val="0096529A"/>
    <w:rsid w:val="009654F0"/>
    <w:rsid w:val="00965C5F"/>
    <w:rsid w:val="00965EBF"/>
    <w:rsid w:val="00966022"/>
    <w:rsid w:val="009667FB"/>
    <w:rsid w:val="00966AE4"/>
    <w:rsid w:val="00966C9A"/>
    <w:rsid w:val="00967B12"/>
    <w:rsid w:val="00967EE7"/>
    <w:rsid w:val="009703D8"/>
    <w:rsid w:val="00970F7A"/>
    <w:rsid w:val="00971086"/>
    <w:rsid w:val="0097132B"/>
    <w:rsid w:val="00971714"/>
    <w:rsid w:val="0097189F"/>
    <w:rsid w:val="00971C42"/>
    <w:rsid w:val="00971EC5"/>
    <w:rsid w:val="00971FCC"/>
    <w:rsid w:val="00971FE2"/>
    <w:rsid w:val="009720A1"/>
    <w:rsid w:val="00972221"/>
    <w:rsid w:val="0097244F"/>
    <w:rsid w:val="009728FB"/>
    <w:rsid w:val="0097298A"/>
    <w:rsid w:val="0097331D"/>
    <w:rsid w:val="0097373B"/>
    <w:rsid w:val="00973BAF"/>
    <w:rsid w:val="00973F8B"/>
    <w:rsid w:val="00974182"/>
    <w:rsid w:val="00975236"/>
    <w:rsid w:val="0097579F"/>
    <w:rsid w:val="00975C48"/>
    <w:rsid w:val="00975CBD"/>
    <w:rsid w:val="009764FA"/>
    <w:rsid w:val="0097672C"/>
    <w:rsid w:val="009769BA"/>
    <w:rsid w:val="00976A1A"/>
    <w:rsid w:val="009773CE"/>
    <w:rsid w:val="0097780F"/>
    <w:rsid w:val="009778AB"/>
    <w:rsid w:val="009779FA"/>
    <w:rsid w:val="00977E77"/>
    <w:rsid w:val="009801E8"/>
    <w:rsid w:val="00980537"/>
    <w:rsid w:val="00980B66"/>
    <w:rsid w:val="00981CB6"/>
    <w:rsid w:val="009820EE"/>
    <w:rsid w:val="00982AB4"/>
    <w:rsid w:val="00983061"/>
    <w:rsid w:val="0098312F"/>
    <w:rsid w:val="00983223"/>
    <w:rsid w:val="009835A1"/>
    <w:rsid w:val="00983EBC"/>
    <w:rsid w:val="00984206"/>
    <w:rsid w:val="0098511E"/>
    <w:rsid w:val="0098512E"/>
    <w:rsid w:val="0098541D"/>
    <w:rsid w:val="00985513"/>
    <w:rsid w:val="00985845"/>
    <w:rsid w:val="00985C9A"/>
    <w:rsid w:val="009866CE"/>
    <w:rsid w:val="00986954"/>
    <w:rsid w:val="00986D11"/>
    <w:rsid w:val="00986ED0"/>
    <w:rsid w:val="0098724D"/>
    <w:rsid w:val="0098745D"/>
    <w:rsid w:val="009879B5"/>
    <w:rsid w:val="0099038E"/>
    <w:rsid w:val="00990732"/>
    <w:rsid w:val="00990C1F"/>
    <w:rsid w:val="00991820"/>
    <w:rsid w:val="00991C57"/>
    <w:rsid w:val="00991C9F"/>
    <w:rsid w:val="00991F39"/>
    <w:rsid w:val="00992696"/>
    <w:rsid w:val="00992B1E"/>
    <w:rsid w:val="009930C0"/>
    <w:rsid w:val="00993C70"/>
    <w:rsid w:val="00994173"/>
    <w:rsid w:val="009949AC"/>
    <w:rsid w:val="00994B4E"/>
    <w:rsid w:val="00994D1C"/>
    <w:rsid w:val="00994FF7"/>
    <w:rsid w:val="009950A1"/>
    <w:rsid w:val="009951BE"/>
    <w:rsid w:val="00995242"/>
    <w:rsid w:val="009952D9"/>
    <w:rsid w:val="00995766"/>
    <w:rsid w:val="009958D0"/>
    <w:rsid w:val="0099603A"/>
    <w:rsid w:val="009961C9"/>
    <w:rsid w:val="009962ED"/>
    <w:rsid w:val="0099633D"/>
    <w:rsid w:val="00996354"/>
    <w:rsid w:val="00996A8B"/>
    <w:rsid w:val="00997244"/>
    <w:rsid w:val="009A013B"/>
    <w:rsid w:val="009A01F2"/>
    <w:rsid w:val="009A0212"/>
    <w:rsid w:val="009A031F"/>
    <w:rsid w:val="009A0639"/>
    <w:rsid w:val="009A0C1F"/>
    <w:rsid w:val="009A0E12"/>
    <w:rsid w:val="009A10D5"/>
    <w:rsid w:val="009A119C"/>
    <w:rsid w:val="009A17BC"/>
    <w:rsid w:val="009A1994"/>
    <w:rsid w:val="009A2261"/>
    <w:rsid w:val="009A253A"/>
    <w:rsid w:val="009A254B"/>
    <w:rsid w:val="009A2968"/>
    <w:rsid w:val="009A2E35"/>
    <w:rsid w:val="009A2F71"/>
    <w:rsid w:val="009A32DF"/>
    <w:rsid w:val="009A34F7"/>
    <w:rsid w:val="009A35A0"/>
    <w:rsid w:val="009A3DBF"/>
    <w:rsid w:val="009A43FF"/>
    <w:rsid w:val="009A5611"/>
    <w:rsid w:val="009A637B"/>
    <w:rsid w:val="009A67CD"/>
    <w:rsid w:val="009A698F"/>
    <w:rsid w:val="009A73DF"/>
    <w:rsid w:val="009A788B"/>
    <w:rsid w:val="009A7902"/>
    <w:rsid w:val="009A7E1C"/>
    <w:rsid w:val="009B003C"/>
    <w:rsid w:val="009B0DFC"/>
    <w:rsid w:val="009B19B2"/>
    <w:rsid w:val="009B2465"/>
    <w:rsid w:val="009B285A"/>
    <w:rsid w:val="009B300F"/>
    <w:rsid w:val="009B310A"/>
    <w:rsid w:val="009B326D"/>
    <w:rsid w:val="009B3745"/>
    <w:rsid w:val="009B46E0"/>
    <w:rsid w:val="009B4777"/>
    <w:rsid w:val="009B5040"/>
    <w:rsid w:val="009B521B"/>
    <w:rsid w:val="009B581A"/>
    <w:rsid w:val="009B5DD5"/>
    <w:rsid w:val="009B6514"/>
    <w:rsid w:val="009B6970"/>
    <w:rsid w:val="009B74E2"/>
    <w:rsid w:val="009C00EF"/>
    <w:rsid w:val="009C064F"/>
    <w:rsid w:val="009C0A0A"/>
    <w:rsid w:val="009C1566"/>
    <w:rsid w:val="009C1C38"/>
    <w:rsid w:val="009C1CDF"/>
    <w:rsid w:val="009C2027"/>
    <w:rsid w:val="009C245B"/>
    <w:rsid w:val="009C281C"/>
    <w:rsid w:val="009C3440"/>
    <w:rsid w:val="009C3B47"/>
    <w:rsid w:val="009C4DDE"/>
    <w:rsid w:val="009C4E6E"/>
    <w:rsid w:val="009C4FDB"/>
    <w:rsid w:val="009C520B"/>
    <w:rsid w:val="009C52FC"/>
    <w:rsid w:val="009C536C"/>
    <w:rsid w:val="009C5677"/>
    <w:rsid w:val="009C5874"/>
    <w:rsid w:val="009C5ECB"/>
    <w:rsid w:val="009C66BA"/>
    <w:rsid w:val="009C6768"/>
    <w:rsid w:val="009C6894"/>
    <w:rsid w:val="009C68C6"/>
    <w:rsid w:val="009C69D6"/>
    <w:rsid w:val="009C6B3B"/>
    <w:rsid w:val="009C6B7B"/>
    <w:rsid w:val="009C6DA9"/>
    <w:rsid w:val="009C7AF3"/>
    <w:rsid w:val="009D0DF4"/>
    <w:rsid w:val="009D165E"/>
    <w:rsid w:val="009D1E7B"/>
    <w:rsid w:val="009D22EA"/>
    <w:rsid w:val="009D2478"/>
    <w:rsid w:val="009D256B"/>
    <w:rsid w:val="009D25FD"/>
    <w:rsid w:val="009D2A1A"/>
    <w:rsid w:val="009D2C4C"/>
    <w:rsid w:val="009D2C71"/>
    <w:rsid w:val="009D3363"/>
    <w:rsid w:val="009D341F"/>
    <w:rsid w:val="009D3508"/>
    <w:rsid w:val="009D3879"/>
    <w:rsid w:val="009D3909"/>
    <w:rsid w:val="009D3A0B"/>
    <w:rsid w:val="009D3DB8"/>
    <w:rsid w:val="009D407B"/>
    <w:rsid w:val="009D4272"/>
    <w:rsid w:val="009D4303"/>
    <w:rsid w:val="009D4A8E"/>
    <w:rsid w:val="009D50E8"/>
    <w:rsid w:val="009D53E3"/>
    <w:rsid w:val="009D5637"/>
    <w:rsid w:val="009D56D2"/>
    <w:rsid w:val="009D57D5"/>
    <w:rsid w:val="009D5A7B"/>
    <w:rsid w:val="009D5D05"/>
    <w:rsid w:val="009D62E7"/>
    <w:rsid w:val="009D6838"/>
    <w:rsid w:val="009D6F0D"/>
    <w:rsid w:val="009D7423"/>
    <w:rsid w:val="009D7576"/>
    <w:rsid w:val="009D75EF"/>
    <w:rsid w:val="009D7776"/>
    <w:rsid w:val="009D7C4F"/>
    <w:rsid w:val="009E05EA"/>
    <w:rsid w:val="009E11CA"/>
    <w:rsid w:val="009E1315"/>
    <w:rsid w:val="009E13E4"/>
    <w:rsid w:val="009E16C0"/>
    <w:rsid w:val="009E1726"/>
    <w:rsid w:val="009E1F70"/>
    <w:rsid w:val="009E2533"/>
    <w:rsid w:val="009E28FF"/>
    <w:rsid w:val="009E2F97"/>
    <w:rsid w:val="009E313A"/>
    <w:rsid w:val="009E3726"/>
    <w:rsid w:val="009E3790"/>
    <w:rsid w:val="009E3809"/>
    <w:rsid w:val="009E3B5F"/>
    <w:rsid w:val="009E3C3E"/>
    <w:rsid w:val="009E43D4"/>
    <w:rsid w:val="009E457F"/>
    <w:rsid w:val="009E4811"/>
    <w:rsid w:val="009E4ADD"/>
    <w:rsid w:val="009E5912"/>
    <w:rsid w:val="009E59CC"/>
    <w:rsid w:val="009E5E46"/>
    <w:rsid w:val="009E67C2"/>
    <w:rsid w:val="009E6811"/>
    <w:rsid w:val="009E6928"/>
    <w:rsid w:val="009E732A"/>
    <w:rsid w:val="009E73D9"/>
    <w:rsid w:val="009E7C08"/>
    <w:rsid w:val="009E7F0B"/>
    <w:rsid w:val="009E7F70"/>
    <w:rsid w:val="009F067C"/>
    <w:rsid w:val="009F0BCF"/>
    <w:rsid w:val="009F0CD1"/>
    <w:rsid w:val="009F115A"/>
    <w:rsid w:val="009F15B3"/>
    <w:rsid w:val="009F187B"/>
    <w:rsid w:val="009F1CD0"/>
    <w:rsid w:val="009F1EC4"/>
    <w:rsid w:val="009F20D7"/>
    <w:rsid w:val="009F27C5"/>
    <w:rsid w:val="009F2973"/>
    <w:rsid w:val="009F3A3A"/>
    <w:rsid w:val="009F3CC3"/>
    <w:rsid w:val="009F3F25"/>
    <w:rsid w:val="009F4375"/>
    <w:rsid w:val="009F4769"/>
    <w:rsid w:val="009F4D54"/>
    <w:rsid w:val="009F4F05"/>
    <w:rsid w:val="009F5218"/>
    <w:rsid w:val="009F5B7F"/>
    <w:rsid w:val="009F6420"/>
    <w:rsid w:val="009F68BE"/>
    <w:rsid w:val="009F6AB0"/>
    <w:rsid w:val="009F6B61"/>
    <w:rsid w:val="009F7903"/>
    <w:rsid w:val="009F7B26"/>
    <w:rsid w:val="00A0004F"/>
    <w:rsid w:val="00A0039D"/>
    <w:rsid w:val="00A003B0"/>
    <w:rsid w:val="00A00574"/>
    <w:rsid w:val="00A0059B"/>
    <w:rsid w:val="00A00ABE"/>
    <w:rsid w:val="00A00B85"/>
    <w:rsid w:val="00A010FB"/>
    <w:rsid w:val="00A0169E"/>
    <w:rsid w:val="00A01798"/>
    <w:rsid w:val="00A0239D"/>
    <w:rsid w:val="00A02B5C"/>
    <w:rsid w:val="00A02D0C"/>
    <w:rsid w:val="00A0345F"/>
    <w:rsid w:val="00A037CF"/>
    <w:rsid w:val="00A03BA5"/>
    <w:rsid w:val="00A04447"/>
    <w:rsid w:val="00A0526B"/>
    <w:rsid w:val="00A059F5"/>
    <w:rsid w:val="00A05B8C"/>
    <w:rsid w:val="00A05CB6"/>
    <w:rsid w:val="00A05F8B"/>
    <w:rsid w:val="00A061DD"/>
    <w:rsid w:val="00A066E7"/>
    <w:rsid w:val="00A0678E"/>
    <w:rsid w:val="00A06EE7"/>
    <w:rsid w:val="00A07654"/>
    <w:rsid w:val="00A076B0"/>
    <w:rsid w:val="00A07AC4"/>
    <w:rsid w:val="00A07B16"/>
    <w:rsid w:val="00A07DCC"/>
    <w:rsid w:val="00A07FA3"/>
    <w:rsid w:val="00A107CC"/>
    <w:rsid w:val="00A10B48"/>
    <w:rsid w:val="00A11084"/>
    <w:rsid w:val="00A11A56"/>
    <w:rsid w:val="00A11ACA"/>
    <w:rsid w:val="00A11E0F"/>
    <w:rsid w:val="00A12206"/>
    <w:rsid w:val="00A12BEE"/>
    <w:rsid w:val="00A133B0"/>
    <w:rsid w:val="00A13715"/>
    <w:rsid w:val="00A13906"/>
    <w:rsid w:val="00A13A3E"/>
    <w:rsid w:val="00A13B9C"/>
    <w:rsid w:val="00A13C01"/>
    <w:rsid w:val="00A14566"/>
    <w:rsid w:val="00A145D0"/>
    <w:rsid w:val="00A14DB5"/>
    <w:rsid w:val="00A152F0"/>
    <w:rsid w:val="00A157EC"/>
    <w:rsid w:val="00A16374"/>
    <w:rsid w:val="00A16D26"/>
    <w:rsid w:val="00A17345"/>
    <w:rsid w:val="00A1789B"/>
    <w:rsid w:val="00A203ED"/>
    <w:rsid w:val="00A205BF"/>
    <w:rsid w:val="00A20661"/>
    <w:rsid w:val="00A2089C"/>
    <w:rsid w:val="00A20D0A"/>
    <w:rsid w:val="00A2104B"/>
    <w:rsid w:val="00A210E9"/>
    <w:rsid w:val="00A213B0"/>
    <w:rsid w:val="00A216B6"/>
    <w:rsid w:val="00A216EC"/>
    <w:rsid w:val="00A21AAA"/>
    <w:rsid w:val="00A21F0B"/>
    <w:rsid w:val="00A21FEA"/>
    <w:rsid w:val="00A22019"/>
    <w:rsid w:val="00A224A1"/>
    <w:rsid w:val="00A2306B"/>
    <w:rsid w:val="00A232F1"/>
    <w:rsid w:val="00A23D37"/>
    <w:rsid w:val="00A23DD3"/>
    <w:rsid w:val="00A2406B"/>
    <w:rsid w:val="00A245EF"/>
    <w:rsid w:val="00A2470A"/>
    <w:rsid w:val="00A2481C"/>
    <w:rsid w:val="00A2491C"/>
    <w:rsid w:val="00A2493D"/>
    <w:rsid w:val="00A25D44"/>
    <w:rsid w:val="00A2627F"/>
    <w:rsid w:val="00A266CF"/>
    <w:rsid w:val="00A26883"/>
    <w:rsid w:val="00A26C0A"/>
    <w:rsid w:val="00A275BA"/>
    <w:rsid w:val="00A277CB"/>
    <w:rsid w:val="00A2795C"/>
    <w:rsid w:val="00A27A63"/>
    <w:rsid w:val="00A301A2"/>
    <w:rsid w:val="00A302FF"/>
    <w:rsid w:val="00A30BAE"/>
    <w:rsid w:val="00A30C48"/>
    <w:rsid w:val="00A30D43"/>
    <w:rsid w:val="00A314A9"/>
    <w:rsid w:val="00A31591"/>
    <w:rsid w:val="00A31927"/>
    <w:rsid w:val="00A31BB3"/>
    <w:rsid w:val="00A321EE"/>
    <w:rsid w:val="00A324A3"/>
    <w:rsid w:val="00A325C2"/>
    <w:rsid w:val="00A32C37"/>
    <w:rsid w:val="00A3368E"/>
    <w:rsid w:val="00A33A1D"/>
    <w:rsid w:val="00A33CC6"/>
    <w:rsid w:val="00A341A9"/>
    <w:rsid w:val="00A342D8"/>
    <w:rsid w:val="00A348AD"/>
    <w:rsid w:val="00A34A52"/>
    <w:rsid w:val="00A34AB8"/>
    <w:rsid w:val="00A34DFF"/>
    <w:rsid w:val="00A3533F"/>
    <w:rsid w:val="00A3673E"/>
    <w:rsid w:val="00A36D71"/>
    <w:rsid w:val="00A37165"/>
    <w:rsid w:val="00A376DF"/>
    <w:rsid w:val="00A37E80"/>
    <w:rsid w:val="00A37ED8"/>
    <w:rsid w:val="00A400F7"/>
    <w:rsid w:val="00A402CC"/>
    <w:rsid w:val="00A4052F"/>
    <w:rsid w:val="00A412C4"/>
    <w:rsid w:val="00A41DEB"/>
    <w:rsid w:val="00A41FA6"/>
    <w:rsid w:val="00A42777"/>
    <w:rsid w:val="00A42813"/>
    <w:rsid w:val="00A4329C"/>
    <w:rsid w:val="00A4339C"/>
    <w:rsid w:val="00A4345D"/>
    <w:rsid w:val="00A436C2"/>
    <w:rsid w:val="00A437DF"/>
    <w:rsid w:val="00A43C78"/>
    <w:rsid w:val="00A43E2B"/>
    <w:rsid w:val="00A449D2"/>
    <w:rsid w:val="00A44AB2"/>
    <w:rsid w:val="00A44CB7"/>
    <w:rsid w:val="00A44E28"/>
    <w:rsid w:val="00A450CB"/>
    <w:rsid w:val="00A4528E"/>
    <w:rsid w:val="00A4570E"/>
    <w:rsid w:val="00A45AA6"/>
    <w:rsid w:val="00A4648A"/>
    <w:rsid w:val="00A4656A"/>
    <w:rsid w:val="00A46994"/>
    <w:rsid w:val="00A46B10"/>
    <w:rsid w:val="00A46F1F"/>
    <w:rsid w:val="00A46FAD"/>
    <w:rsid w:val="00A472DB"/>
    <w:rsid w:val="00A473E1"/>
    <w:rsid w:val="00A47B87"/>
    <w:rsid w:val="00A502BC"/>
    <w:rsid w:val="00A5044D"/>
    <w:rsid w:val="00A50B00"/>
    <w:rsid w:val="00A50DC1"/>
    <w:rsid w:val="00A50E51"/>
    <w:rsid w:val="00A51040"/>
    <w:rsid w:val="00A514EB"/>
    <w:rsid w:val="00A518FF"/>
    <w:rsid w:val="00A521E0"/>
    <w:rsid w:val="00A52A90"/>
    <w:rsid w:val="00A52BE9"/>
    <w:rsid w:val="00A52E45"/>
    <w:rsid w:val="00A53A4C"/>
    <w:rsid w:val="00A54600"/>
    <w:rsid w:val="00A54826"/>
    <w:rsid w:val="00A54AC8"/>
    <w:rsid w:val="00A54CD7"/>
    <w:rsid w:val="00A54D16"/>
    <w:rsid w:val="00A54F77"/>
    <w:rsid w:val="00A54F8E"/>
    <w:rsid w:val="00A55877"/>
    <w:rsid w:val="00A5591C"/>
    <w:rsid w:val="00A55DCC"/>
    <w:rsid w:val="00A5637C"/>
    <w:rsid w:val="00A564A4"/>
    <w:rsid w:val="00A56554"/>
    <w:rsid w:val="00A565A9"/>
    <w:rsid w:val="00A566D2"/>
    <w:rsid w:val="00A568CE"/>
    <w:rsid w:val="00A56BEC"/>
    <w:rsid w:val="00A56C2C"/>
    <w:rsid w:val="00A6099F"/>
    <w:rsid w:val="00A60ED7"/>
    <w:rsid w:val="00A60FF4"/>
    <w:rsid w:val="00A611C3"/>
    <w:rsid w:val="00A612A7"/>
    <w:rsid w:val="00A61420"/>
    <w:rsid w:val="00A61828"/>
    <w:rsid w:val="00A61A6B"/>
    <w:rsid w:val="00A61C95"/>
    <w:rsid w:val="00A61E26"/>
    <w:rsid w:val="00A62136"/>
    <w:rsid w:val="00A62146"/>
    <w:rsid w:val="00A622E2"/>
    <w:rsid w:val="00A62892"/>
    <w:rsid w:val="00A628F4"/>
    <w:rsid w:val="00A629E2"/>
    <w:rsid w:val="00A62B97"/>
    <w:rsid w:val="00A630C0"/>
    <w:rsid w:val="00A63117"/>
    <w:rsid w:val="00A6362C"/>
    <w:rsid w:val="00A63872"/>
    <w:rsid w:val="00A63A37"/>
    <w:rsid w:val="00A63E0E"/>
    <w:rsid w:val="00A648F2"/>
    <w:rsid w:val="00A65054"/>
    <w:rsid w:val="00A65854"/>
    <w:rsid w:val="00A65C98"/>
    <w:rsid w:val="00A65EEB"/>
    <w:rsid w:val="00A6630B"/>
    <w:rsid w:val="00A66F5A"/>
    <w:rsid w:val="00A67041"/>
    <w:rsid w:val="00A67A2E"/>
    <w:rsid w:val="00A67A8E"/>
    <w:rsid w:val="00A67DED"/>
    <w:rsid w:val="00A70071"/>
    <w:rsid w:val="00A70A35"/>
    <w:rsid w:val="00A70E32"/>
    <w:rsid w:val="00A70F95"/>
    <w:rsid w:val="00A71292"/>
    <w:rsid w:val="00A7141F"/>
    <w:rsid w:val="00A71536"/>
    <w:rsid w:val="00A71793"/>
    <w:rsid w:val="00A71E99"/>
    <w:rsid w:val="00A7222F"/>
    <w:rsid w:val="00A72291"/>
    <w:rsid w:val="00A72A84"/>
    <w:rsid w:val="00A731ED"/>
    <w:rsid w:val="00A7337F"/>
    <w:rsid w:val="00A73B0A"/>
    <w:rsid w:val="00A7402B"/>
    <w:rsid w:val="00A742CB"/>
    <w:rsid w:val="00A7469D"/>
    <w:rsid w:val="00A74E04"/>
    <w:rsid w:val="00A74F6C"/>
    <w:rsid w:val="00A750D3"/>
    <w:rsid w:val="00A75212"/>
    <w:rsid w:val="00A75CE6"/>
    <w:rsid w:val="00A75DD6"/>
    <w:rsid w:val="00A760AD"/>
    <w:rsid w:val="00A7634B"/>
    <w:rsid w:val="00A7647C"/>
    <w:rsid w:val="00A76A52"/>
    <w:rsid w:val="00A76BA5"/>
    <w:rsid w:val="00A77198"/>
    <w:rsid w:val="00A7735F"/>
    <w:rsid w:val="00A779CE"/>
    <w:rsid w:val="00A77F23"/>
    <w:rsid w:val="00A805AD"/>
    <w:rsid w:val="00A80709"/>
    <w:rsid w:val="00A807F4"/>
    <w:rsid w:val="00A8112D"/>
    <w:rsid w:val="00A811DA"/>
    <w:rsid w:val="00A813AC"/>
    <w:rsid w:val="00A817F3"/>
    <w:rsid w:val="00A81DCD"/>
    <w:rsid w:val="00A82051"/>
    <w:rsid w:val="00A8221B"/>
    <w:rsid w:val="00A82508"/>
    <w:rsid w:val="00A826BA"/>
    <w:rsid w:val="00A827CA"/>
    <w:rsid w:val="00A829D3"/>
    <w:rsid w:val="00A82D80"/>
    <w:rsid w:val="00A83213"/>
    <w:rsid w:val="00A83430"/>
    <w:rsid w:val="00A8354E"/>
    <w:rsid w:val="00A83621"/>
    <w:rsid w:val="00A836D1"/>
    <w:rsid w:val="00A8389D"/>
    <w:rsid w:val="00A83BF1"/>
    <w:rsid w:val="00A83DAE"/>
    <w:rsid w:val="00A84298"/>
    <w:rsid w:val="00A842D6"/>
    <w:rsid w:val="00A84314"/>
    <w:rsid w:val="00A844C6"/>
    <w:rsid w:val="00A85002"/>
    <w:rsid w:val="00A8523D"/>
    <w:rsid w:val="00A853A6"/>
    <w:rsid w:val="00A85703"/>
    <w:rsid w:val="00A85DAC"/>
    <w:rsid w:val="00A86A3E"/>
    <w:rsid w:val="00A905F1"/>
    <w:rsid w:val="00A90E27"/>
    <w:rsid w:val="00A90F65"/>
    <w:rsid w:val="00A90F75"/>
    <w:rsid w:val="00A911C3"/>
    <w:rsid w:val="00A91218"/>
    <w:rsid w:val="00A913B4"/>
    <w:rsid w:val="00A91816"/>
    <w:rsid w:val="00A92A8E"/>
    <w:rsid w:val="00A92BA5"/>
    <w:rsid w:val="00A92E6A"/>
    <w:rsid w:val="00A934FE"/>
    <w:rsid w:val="00A935CB"/>
    <w:rsid w:val="00A9391A"/>
    <w:rsid w:val="00A94547"/>
    <w:rsid w:val="00A94811"/>
    <w:rsid w:val="00A94B41"/>
    <w:rsid w:val="00A94F3B"/>
    <w:rsid w:val="00A95933"/>
    <w:rsid w:val="00A959D4"/>
    <w:rsid w:val="00A959DF"/>
    <w:rsid w:val="00A96D7E"/>
    <w:rsid w:val="00A97060"/>
    <w:rsid w:val="00A9777F"/>
    <w:rsid w:val="00A97B8C"/>
    <w:rsid w:val="00A97BCD"/>
    <w:rsid w:val="00A97EB5"/>
    <w:rsid w:val="00AA04CD"/>
    <w:rsid w:val="00AA0758"/>
    <w:rsid w:val="00AA0C88"/>
    <w:rsid w:val="00AA158B"/>
    <w:rsid w:val="00AA1D12"/>
    <w:rsid w:val="00AA216B"/>
    <w:rsid w:val="00AA29FB"/>
    <w:rsid w:val="00AA2CD8"/>
    <w:rsid w:val="00AA2EE7"/>
    <w:rsid w:val="00AA30A2"/>
    <w:rsid w:val="00AA3182"/>
    <w:rsid w:val="00AA3490"/>
    <w:rsid w:val="00AA35D2"/>
    <w:rsid w:val="00AA37AC"/>
    <w:rsid w:val="00AA398E"/>
    <w:rsid w:val="00AA4521"/>
    <w:rsid w:val="00AA49B7"/>
    <w:rsid w:val="00AA4DE9"/>
    <w:rsid w:val="00AA4F7E"/>
    <w:rsid w:val="00AA54E4"/>
    <w:rsid w:val="00AA61DD"/>
    <w:rsid w:val="00AA630A"/>
    <w:rsid w:val="00AA69EF"/>
    <w:rsid w:val="00AA6F9A"/>
    <w:rsid w:val="00AA7159"/>
    <w:rsid w:val="00AA7261"/>
    <w:rsid w:val="00AA75B0"/>
    <w:rsid w:val="00AA7A0E"/>
    <w:rsid w:val="00AA7A64"/>
    <w:rsid w:val="00AB02A8"/>
    <w:rsid w:val="00AB02C8"/>
    <w:rsid w:val="00AB067B"/>
    <w:rsid w:val="00AB0C7A"/>
    <w:rsid w:val="00AB0D5D"/>
    <w:rsid w:val="00AB102D"/>
    <w:rsid w:val="00AB1A33"/>
    <w:rsid w:val="00AB1ECE"/>
    <w:rsid w:val="00AB2224"/>
    <w:rsid w:val="00AB2857"/>
    <w:rsid w:val="00AB2AB9"/>
    <w:rsid w:val="00AB31B1"/>
    <w:rsid w:val="00AB3299"/>
    <w:rsid w:val="00AB392D"/>
    <w:rsid w:val="00AB3E16"/>
    <w:rsid w:val="00AB3F1E"/>
    <w:rsid w:val="00AB3F65"/>
    <w:rsid w:val="00AB3F97"/>
    <w:rsid w:val="00AB4040"/>
    <w:rsid w:val="00AB4236"/>
    <w:rsid w:val="00AB436B"/>
    <w:rsid w:val="00AB4A2B"/>
    <w:rsid w:val="00AB5000"/>
    <w:rsid w:val="00AB53BA"/>
    <w:rsid w:val="00AB548B"/>
    <w:rsid w:val="00AB55A8"/>
    <w:rsid w:val="00AB5702"/>
    <w:rsid w:val="00AB583A"/>
    <w:rsid w:val="00AB5DC0"/>
    <w:rsid w:val="00AB5FB9"/>
    <w:rsid w:val="00AB657E"/>
    <w:rsid w:val="00AB6700"/>
    <w:rsid w:val="00AB6717"/>
    <w:rsid w:val="00AB6872"/>
    <w:rsid w:val="00AB6A35"/>
    <w:rsid w:val="00AB6D90"/>
    <w:rsid w:val="00AB7192"/>
    <w:rsid w:val="00AB76D5"/>
    <w:rsid w:val="00AB7828"/>
    <w:rsid w:val="00AB7855"/>
    <w:rsid w:val="00AB78AC"/>
    <w:rsid w:val="00AC0F0B"/>
    <w:rsid w:val="00AC1227"/>
    <w:rsid w:val="00AC22E3"/>
    <w:rsid w:val="00AC2671"/>
    <w:rsid w:val="00AC278B"/>
    <w:rsid w:val="00AC27BD"/>
    <w:rsid w:val="00AC2D25"/>
    <w:rsid w:val="00AC2E78"/>
    <w:rsid w:val="00AC33F9"/>
    <w:rsid w:val="00AC3431"/>
    <w:rsid w:val="00AC348C"/>
    <w:rsid w:val="00AC34AE"/>
    <w:rsid w:val="00AC367D"/>
    <w:rsid w:val="00AC36BC"/>
    <w:rsid w:val="00AC3727"/>
    <w:rsid w:val="00AC38B4"/>
    <w:rsid w:val="00AC4379"/>
    <w:rsid w:val="00AC472D"/>
    <w:rsid w:val="00AC48A2"/>
    <w:rsid w:val="00AC4BA8"/>
    <w:rsid w:val="00AC4D53"/>
    <w:rsid w:val="00AC4E7D"/>
    <w:rsid w:val="00AC4F5F"/>
    <w:rsid w:val="00AC523B"/>
    <w:rsid w:val="00AC55D6"/>
    <w:rsid w:val="00AC5708"/>
    <w:rsid w:val="00AC5C7D"/>
    <w:rsid w:val="00AC5D9B"/>
    <w:rsid w:val="00AC6071"/>
    <w:rsid w:val="00AC62C7"/>
    <w:rsid w:val="00AC6368"/>
    <w:rsid w:val="00AC63F4"/>
    <w:rsid w:val="00AC652D"/>
    <w:rsid w:val="00AC6ED1"/>
    <w:rsid w:val="00AC6EDC"/>
    <w:rsid w:val="00AC7350"/>
    <w:rsid w:val="00AC7483"/>
    <w:rsid w:val="00AC755E"/>
    <w:rsid w:val="00AC7BC4"/>
    <w:rsid w:val="00AD0669"/>
    <w:rsid w:val="00AD067C"/>
    <w:rsid w:val="00AD0800"/>
    <w:rsid w:val="00AD163D"/>
    <w:rsid w:val="00AD1744"/>
    <w:rsid w:val="00AD1B03"/>
    <w:rsid w:val="00AD1D48"/>
    <w:rsid w:val="00AD1DFE"/>
    <w:rsid w:val="00AD1F3F"/>
    <w:rsid w:val="00AD2D96"/>
    <w:rsid w:val="00AD3328"/>
    <w:rsid w:val="00AD3337"/>
    <w:rsid w:val="00AD3B9D"/>
    <w:rsid w:val="00AD3BEC"/>
    <w:rsid w:val="00AD454C"/>
    <w:rsid w:val="00AD4835"/>
    <w:rsid w:val="00AD59E4"/>
    <w:rsid w:val="00AD5B0E"/>
    <w:rsid w:val="00AD5B99"/>
    <w:rsid w:val="00AD673C"/>
    <w:rsid w:val="00AD674E"/>
    <w:rsid w:val="00AD7041"/>
    <w:rsid w:val="00AD71FE"/>
    <w:rsid w:val="00AD732B"/>
    <w:rsid w:val="00AD7927"/>
    <w:rsid w:val="00AD7B9D"/>
    <w:rsid w:val="00AD7E7F"/>
    <w:rsid w:val="00AE02C2"/>
    <w:rsid w:val="00AE0B70"/>
    <w:rsid w:val="00AE0F2E"/>
    <w:rsid w:val="00AE1DAA"/>
    <w:rsid w:val="00AE2083"/>
    <w:rsid w:val="00AE2205"/>
    <w:rsid w:val="00AE26E7"/>
    <w:rsid w:val="00AE29B8"/>
    <w:rsid w:val="00AE2C07"/>
    <w:rsid w:val="00AE3128"/>
    <w:rsid w:val="00AE3B74"/>
    <w:rsid w:val="00AE3D1D"/>
    <w:rsid w:val="00AE4080"/>
    <w:rsid w:val="00AE4128"/>
    <w:rsid w:val="00AE4426"/>
    <w:rsid w:val="00AE4557"/>
    <w:rsid w:val="00AE4A1F"/>
    <w:rsid w:val="00AE4D48"/>
    <w:rsid w:val="00AE5BE1"/>
    <w:rsid w:val="00AE5E95"/>
    <w:rsid w:val="00AE609C"/>
    <w:rsid w:val="00AE6433"/>
    <w:rsid w:val="00AE6584"/>
    <w:rsid w:val="00AE677A"/>
    <w:rsid w:val="00AE69BD"/>
    <w:rsid w:val="00AE6ADB"/>
    <w:rsid w:val="00AE6C24"/>
    <w:rsid w:val="00AE6D12"/>
    <w:rsid w:val="00AE71DC"/>
    <w:rsid w:val="00AE74A7"/>
    <w:rsid w:val="00AE7FA8"/>
    <w:rsid w:val="00AF047B"/>
    <w:rsid w:val="00AF0A8F"/>
    <w:rsid w:val="00AF0E28"/>
    <w:rsid w:val="00AF11A9"/>
    <w:rsid w:val="00AF1761"/>
    <w:rsid w:val="00AF1A07"/>
    <w:rsid w:val="00AF1CCB"/>
    <w:rsid w:val="00AF217E"/>
    <w:rsid w:val="00AF2AFC"/>
    <w:rsid w:val="00AF2BDA"/>
    <w:rsid w:val="00AF2DE9"/>
    <w:rsid w:val="00AF2E96"/>
    <w:rsid w:val="00AF378E"/>
    <w:rsid w:val="00AF3C8C"/>
    <w:rsid w:val="00AF3F9D"/>
    <w:rsid w:val="00AF443B"/>
    <w:rsid w:val="00AF4542"/>
    <w:rsid w:val="00AF457C"/>
    <w:rsid w:val="00AF461B"/>
    <w:rsid w:val="00AF461C"/>
    <w:rsid w:val="00AF4CA3"/>
    <w:rsid w:val="00AF5363"/>
    <w:rsid w:val="00AF5494"/>
    <w:rsid w:val="00AF5C76"/>
    <w:rsid w:val="00AF5CB8"/>
    <w:rsid w:val="00AF5F78"/>
    <w:rsid w:val="00AF66F1"/>
    <w:rsid w:val="00AF673C"/>
    <w:rsid w:val="00AF7036"/>
    <w:rsid w:val="00AF779B"/>
    <w:rsid w:val="00AF7C7D"/>
    <w:rsid w:val="00B00306"/>
    <w:rsid w:val="00B009B2"/>
    <w:rsid w:val="00B00A5B"/>
    <w:rsid w:val="00B010D3"/>
    <w:rsid w:val="00B01604"/>
    <w:rsid w:val="00B01CC2"/>
    <w:rsid w:val="00B01F0D"/>
    <w:rsid w:val="00B0231D"/>
    <w:rsid w:val="00B0238F"/>
    <w:rsid w:val="00B027FD"/>
    <w:rsid w:val="00B02A4C"/>
    <w:rsid w:val="00B0312E"/>
    <w:rsid w:val="00B039C1"/>
    <w:rsid w:val="00B03B49"/>
    <w:rsid w:val="00B03D26"/>
    <w:rsid w:val="00B03E14"/>
    <w:rsid w:val="00B04047"/>
    <w:rsid w:val="00B042DC"/>
    <w:rsid w:val="00B04D36"/>
    <w:rsid w:val="00B04F11"/>
    <w:rsid w:val="00B05155"/>
    <w:rsid w:val="00B05688"/>
    <w:rsid w:val="00B05711"/>
    <w:rsid w:val="00B0598F"/>
    <w:rsid w:val="00B05A41"/>
    <w:rsid w:val="00B06079"/>
    <w:rsid w:val="00B06105"/>
    <w:rsid w:val="00B06241"/>
    <w:rsid w:val="00B06716"/>
    <w:rsid w:val="00B07828"/>
    <w:rsid w:val="00B07988"/>
    <w:rsid w:val="00B07EDA"/>
    <w:rsid w:val="00B10D55"/>
    <w:rsid w:val="00B10D5D"/>
    <w:rsid w:val="00B11AC8"/>
    <w:rsid w:val="00B11C22"/>
    <w:rsid w:val="00B11E9A"/>
    <w:rsid w:val="00B13276"/>
    <w:rsid w:val="00B1332B"/>
    <w:rsid w:val="00B13818"/>
    <w:rsid w:val="00B13C59"/>
    <w:rsid w:val="00B14DDF"/>
    <w:rsid w:val="00B14E6C"/>
    <w:rsid w:val="00B1500F"/>
    <w:rsid w:val="00B151C6"/>
    <w:rsid w:val="00B153B9"/>
    <w:rsid w:val="00B155FA"/>
    <w:rsid w:val="00B15CC4"/>
    <w:rsid w:val="00B16BEB"/>
    <w:rsid w:val="00B16D5A"/>
    <w:rsid w:val="00B17793"/>
    <w:rsid w:val="00B17D79"/>
    <w:rsid w:val="00B17F5F"/>
    <w:rsid w:val="00B20057"/>
    <w:rsid w:val="00B201B9"/>
    <w:rsid w:val="00B2052E"/>
    <w:rsid w:val="00B208A5"/>
    <w:rsid w:val="00B209AA"/>
    <w:rsid w:val="00B209B5"/>
    <w:rsid w:val="00B20E2B"/>
    <w:rsid w:val="00B21CA7"/>
    <w:rsid w:val="00B22651"/>
    <w:rsid w:val="00B22CE2"/>
    <w:rsid w:val="00B231CC"/>
    <w:rsid w:val="00B23216"/>
    <w:rsid w:val="00B23960"/>
    <w:rsid w:val="00B23DE3"/>
    <w:rsid w:val="00B24165"/>
    <w:rsid w:val="00B2484E"/>
    <w:rsid w:val="00B24B38"/>
    <w:rsid w:val="00B24BC4"/>
    <w:rsid w:val="00B24C37"/>
    <w:rsid w:val="00B24F49"/>
    <w:rsid w:val="00B255A7"/>
    <w:rsid w:val="00B257BE"/>
    <w:rsid w:val="00B25A70"/>
    <w:rsid w:val="00B25F9A"/>
    <w:rsid w:val="00B263DD"/>
    <w:rsid w:val="00B27080"/>
    <w:rsid w:val="00B272D3"/>
    <w:rsid w:val="00B27549"/>
    <w:rsid w:val="00B2793D"/>
    <w:rsid w:val="00B27A5D"/>
    <w:rsid w:val="00B27D49"/>
    <w:rsid w:val="00B30D7E"/>
    <w:rsid w:val="00B31026"/>
    <w:rsid w:val="00B31D1B"/>
    <w:rsid w:val="00B31F85"/>
    <w:rsid w:val="00B32D9A"/>
    <w:rsid w:val="00B33105"/>
    <w:rsid w:val="00B33680"/>
    <w:rsid w:val="00B336EB"/>
    <w:rsid w:val="00B3373E"/>
    <w:rsid w:val="00B3396B"/>
    <w:rsid w:val="00B33B13"/>
    <w:rsid w:val="00B33C09"/>
    <w:rsid w:val="00B34340"/>
    <w:rsid w:val="00B34CA0"/>
    <w:rsid w:val="00B35846"/>
    <w:rsid w:val="00B35E23"/>
    <w:rsid w:val="00B362F0"/>
    <w:rsid w:val="00B36447"/>
    <w:rsid w:val="00B364F3"/>
    <w:rsid w:val="00B36993"/>
    <w:rsid w:val="00B378DF"/>
    <w:rsid w:val="00B40294"/>
    <w:rsid w:val="00B4066D"/>
    <w:rsid w:val="00B40D73"/>
    <w:rsid w:val="00B411BF"/>
    <w:rsid w:val="00B415C1"/>
    <w:rsid w:val="00B41900"/>
    <w:rsid w:val="00B41A9A"/>
    <w:rsid w:val="00B426B2"/>
    <w:rsid w:val="00B426FE"/>
    <w:rsid w:val="00B4299D"/>
    <w:rsid w:val="00B42F06"/>
    <w:rsid w:val="00B430D3"/>
    <w:rsid w:val="00B43215"/>
    <w:rsid w:val="00B433B2"/>
    <w:rsid w:val="00B437BA"/>
    <w:rsid w:val="00B437BD"/>
    <w:rsid w:val="00B439FA"/>
    <w:rsid w:val="00B43A55"/>
    <w:rsid w:val="00B43EDF"/>
    <w:rsid w:val="00B43F99"/>
    <w:rsid w:val="00B4485B"/>
    <w:rsid w:val="00B448C2"/>
    <w:rsid w:val="00B4612C"/>
    <w:rsid w:val="00B46796"/>
    <w:rsid w:val="00B468A4"/>
    <w:rsid w:val="00B46FB7"/>
    <w:rsid w:val="00B471B4"/>
    <w:rsid w:val="00B476C5"/>
    <w:rsid w:val="00B477AA"/>
    <w:rsid w:val="00B4783F"/>
    <w:rsid w:val="00B47AF1"/>
    <w:rsid w:val="00B47CEF"/>
    <w:rsid w:val="00B500DA"/>
    <w:rsid w:val="00B50D90"/>
    <w:rsid w:val="00B51C33"/>
    <w:rsid w:val="00B52A20"/>
    <w:rsid w:val="00B52D01"/>
    <w:rsid w:val="00B534E5"/>
    <w:rsid w:val="00B54681"/>
    <w:rsid w:val="00B5490E"/>
    <w:rsid w:val="00B54CD5"/>
    <w:rsid w:val="00B553CF"/>
    <w:rsid w:val="00B553DB"/>
    <w:rsid w:val="00B55435"/>
    <w:rsid w:val="00B558AB"/>
    <w:rsid w:val="00B55957"/>
    <w:rsid w:val="00B560F8"/>
    <w:rsid w:val="00B566CE"/>
    <w:rsid w:val="00B566E0"/>
    <w:rsid w:val="00B5685D"/>
    <w:rsid w:val="00B56E67"/>
    <w:rsid w:val="00B57861"/>
    <w:rsid w:val="00B57900"/>
    <w:rsid w:val="00B57CBB"/>
    <w:rsid w:val="00B57E03"/>
    <w:rsid w:val="00B57FEB"/>
    <w:rsid w:val="00B60E6E"/>
    <w:rsid w:val="00B61072"/>
    <w:rsid w:val="00B61741"/>
    <w:rsid w:val="00B61AA8"/>
    <w:rsid w:val="00B61E14"/>
    <w:rsid w:val="00B6261E"/>
    <w:rsid w:val="00B63A2F"/>
    <w:rsid w:val="00B63CF7"/>
    <w:rsid w:val="00B63E75"/>
    <w:rsid w:val="00B64484"/>
    <w:rsid w:val="00B64A2B"/>
    <w:rsid w:val="00B6559A"/>
    <w:rsid w:val="00B65956"/>
    <w:rsid w:val="00B65E54"/>
    <w:rsid w:val="00B660A0"/>
    <w:rsid w:val="00B66983"/>
    <w:rsid w:val="00B66994"/>
    <w:rsid w:val="00B670BA"/>
    <w:rsid w:val="00B67D22"/>
    <w:rsid w:val="00B70068"/>
    <w:rsid w:val="00B701B4"/>
    <w:rsid w:val="00B70288"/>
    <w:rsid w:val="00B7049B"/>
    <w:rsid w:val="00B70EDB"/>
    <w:rsid w:val="00B71420"/>
    <w:rsid w:val="00B71491"/>
    <w:rsid w:val="00B71A5D"/>
    <w:rsid w:val="00B71F17"/>
    <w:rsid w:val="00B72444"/>
    <w:rsid w:val="00B725A3"/>
    <w:rsid w:val="00B72908"/>
    <w:rsid w:val="00B730C6"/>
    <w:rsid w:val="00B737C7"/>
    <w:rsid w:val="00B739CD"/>
    <w:rsid w:val="00B74A0D"/>
    <w:rsid w:val="00B74FBD"/>
    <w:rsid w:val="00B751A8"/>
    <w:rsid w:val="00B75667"/>
    <w:rsid w:val="00B75780"/>
    <w:rsid w:val="00B76011"/>
    <w:rsid w:val="00B767D1"/>
    <w:rsid w:val="00B76A7A"/>
    <w:rsid w:val="00B76B27"/>
    <w:rsid w:val="00B76D8F"/>
    <w:rsid w:val="00B774CA"/>
    <w:rsid w:val="00B77B01"/>
    <w:rsid w:val="00B77D8A"/>
    <w:rsid w:val="00B8041E"/>
    <w:rsid w:val="00B80D16"/>
    <w:rsid w:val="00B814AA"/>
    <w:rsid w:val="00B81684"/>
    <w:rsid w:val="00B817F4"/>
    <w:rsid w:val="00B818B7"/>
    <w:rsid w:val="00B81E33"/>
    <w:rsid w:val="00B821AB"/>
    <w:rsid w:val="00B8296F"/>
    <w:rsid w:val="00B82BBC"/>
    <w:rsid w:val="00B830F7"/>
    <w:rsid w:val="00B8358C"/>
    <w:rsid w:val="00B83DF6"/>
    <w:rsid w:val="00B83FCA"/>
    <w:rsid w:val="00B83FEF"/>
    <w:rsid w:val="00B84F7F"/>
    <w:rsid w:val="00B85A78"/>
    <w:rsid w:val="00B8620A"/>
    <w:rsid w:val="00B869AE"/>
    <w:rsid w:val="00B86DBB"/>
    <w:rsid w:val="00B86E5C"/>
    <w:rsid w:val="00B86FC3"/>
    <w:rsid w:val="00B87218"/>
    <w:rsid w:val="00B90191"/>
    <w:rsid w:val="00B9068A"/>
    <w:rsid w:val="00B9086A"/>
    <w:rsid w:val="00B909E2"/>
    <w:rsid w:val="00B90AEC"/>
    <w:rsid w:val="00B91191"/>
    <w:rsid w:val="00B91DBA"/>
    <w:rsid w:val="00B92037"/>
    <w:rsid w:val="00B9234A"/>
    <w:rsid w:val="00B93093"/>
    <w:rsid w:val="00B93392"/>
    <w:rsid w:val="00B93412"/>
    <w:rsid w:val="00B93453"/>
    <w:rsid w:val="00B93C0B"/>
    <w:rsid w:val="00B93C36"/>
    <w:rsid w:val="00B93DEE"/>
    <w:rsid w:val="00B94054"/>
    <w:rsid w:val="00B9422E"/>
    <w:rsid w:val="00B94253"/>
    <w:rsid w:val="00B946B1"/>
    <w:rsid w:val="00B94AC1"/>
    <w:rsid w:val="00B950E8"/>
    <w:rsid w:val="00B954FC"/>
    <w:rsid w:val="00B9560E"/>
    <w:rsid w:val="00B959B1"/>
    <w:rsid w:val="00B95DC9"/>
    <w:rsid w:val="00B95E83"/>
    <w:rsid w:val="00B961D5"/>
    <w:rsid w:val="00B96268"/>
    <w:rsid w:val="00B9645D"/>
    <w:rsid w:val="00B96482"/>
    <w:rsid w:val="00B9654C"/>
    <w:rsid w:val="00B96770"/>
    <w:rsid w:val="00B969AE"/>
    <w:rsid w:val="00B96B24"/>
    <w:rsid w:val="00B96CF0"/>
    <w:rsid w:val="00B972EA"/>
    <w:rsid w:val="00B976D6"/>
    <w:rsid w:val="00B977E6"/>
    <w:rsid w:val="00BA065F"/>
    <w:rsid w:val="00BA06B5"/>
    <w:rsid w:val="00BA0841"/>
    <w:rsid w:val="00BA0B31"/>
    <w:rsid w:val="00BA0DE1"/>
    <w:rsid w:val="00BA0F04"/>
    <w:rsid w:val="00BA0FFB"/>
    <w:rsid w:val="00BA14E7"/>
    <w:rsid w:val="00BA160D"/>
    <w:rsid w:val="00BA1903"/>
    <w:rsid w:val="00BA1E65"/>
    <w:rsid w:val="00BA2642"/>
    <w:rsid w:val="00BA2729"/>
    <w:rsid w:val="00BA283C"/>
    <w:rsid w:val="00BA29D7"/>
    <w:rsid w:val="00BA2AEB"/>
    <w:rsid w:val="00BA2BCA"/>
    <w:rsid w:val="00BA3135"/>
    <w:rsid w:val="00BA3867"/>
    <w:rsid w:val="00BA3A14"/>
    <w:rsid w:val="00BA3A4C"/>
    <w:rsid w:val="00BA3B3B"/>
    <w:rsid w:val="00BA40BE"/>
    <w:rsid w:val="00BA43AD"/>
    <w:rsid w:val="00BA44AB"/>
    <w:rsid w:val="00BA48E0"/>
    <w:rsid w:val="00BA5D7F"/>
    <w:rsid w:val="00BA5DB8"/>
    <w:rsid w:val="00BA5EFB"/>
    <w:rsid w:val="00BA62F6"/>
    <w:rsid w:val="00BA659A"/>
    <w:rsid w:val="00BA6874"/>
    <w:rsid w:val="00BA68C1"/>
    <w:rsid w:val="00BA6BCC"/>
    <w:rsid w:val="00BA6E74"/>
    <w:rsid w:val="00BA715B"/>
    <w:rsid w:val="00BA79BC"/>
    <w:rsid w:val="00BA7EB0"/>
    <w:rsid w:val="00BB022B"/>
    <w:rsid w:val="00BB02FA"/>
    <w:rsid w:val="00BB0528"/>
    <w:rsid w:val="00BB07FA"/>
    <w:rsid w:val="00BB156E"/>
    <w:rsid w:val="00BB1D67"/>
    <w:rsid w:val="00BB214E"/>
    <w:rsid w:val="00BB227F"/>
    <w:rsid w:val="00BB23BD"/>
    <w:rsid w:val="00BB2D37"/>
    <w:rsid w:val="00BB2E14"/>
    <w:rsid w:val="00BB301E"/>
    <w:rsid w:val="00BB3021"/>
    <w:rsid w:val="00BB3104"/>
    <w:rsid w:val="00BB333F"/>
    <w:rsid w:val="00BB3A52"/>
    <w:rsid w:val="00BB3C27"/>
    <w:rsid w:val="00BB3F4C"/>
    <w:rsid w:val="00BB4747"/>
    <w:rsid w:val="00BB4DAE"/>
    <w:rsid w:val="00BB5260"/>
    <w:rsid w:val="00BB5A19"/>
    <w:rsid w:val="00BB5F6E"/>
    <w:rsid w:val="00BB5FEA"/>
    <w:rsid w:val="00BB724B"/>
    <w:rsid w:val="00BB72E6"/>
    <w:rsid w:val="00BB72F9"/>
    <w:rsid w:val="00BB797E"/>
    <w:rsid w:val="00BB7A6E"/>
    <w:rsid w:val="00BB7BA0"/>
    <w:rsid w:val="00BC06F8"/>
    <w:rsid w:val="00BC0F2D"/>
    <w:rsid w:val="00BC10AB"/>
    <w:rsid w:val="00BC143A"/>
    <w:rsid w:val="00BC15ED"/>
    <w:rsid w:val="00BC16BF"/>
    <w:rsid w:val="00BC1BFD"/>
    <w:rsid w:val="00BC201A"/>
    <w:rsid w:val="00BC273B"/>
    <w:rsid w:val="00BC2DEE"/>
    <w:rsid w:val="00BC2EA2"/>
    <w:rsid w:val="00BC2F5C"/>
    <w:rsid w:val="00BC38B8"/>
    <w:rsid w:val="00BC3CFA"/>
    <w:rsid w:val="00BC44F2"/>
    <w:rsid w:val="00BC490D"/>
    <w:rsid w:val="00BC532D"/>
    <w:rsid w:val="00BC5359"/>
    <w:rsid w:val="00BC5BBD"/>
    <w:rsid w:val="00BC60BC"/>
    <w:rsid w:val="00BC6188"/>
    <w:rsid w:val="00BC6D8F"/>
    <w:rsid w:val="00BC7573"/>
    <w:rsid w:val="00BC7ADB"/>
    <w:rsid w:val="00BC7DB0"/>
    <w:rsid w:val="00BD082C"/>
    <w:rsid w:val="00BD0942"/>
    <w:rsid w:val="00BD0A3A"/>
    <w:rsid w:val="00BD0FC4"/>
    <w:rsid w:val="00BD1151"/>
    <w:rsid w:val="00BD13D0"/>
    <w:rsid w:val="00BD140B"/>
    <w:rsid w:val="00BD16C9"/>
    <w:rsid w:val="00BD1EE2"/>
    <w:rsid w:val="00BD2047"/>
    <w:rsid w:val="00BD2858"/>
    <w:rsid w:val="00BD2A08"/>
    <w:rsid w:val="00BD2A23"/>
    <w:rsid w:val="00BD2AE9"/>
    <w:rsid w:val="00BD2FB1"/>
    <w:rsid w:val="00BD3636"/>
    <w:rsid w:val="00BD386B"/>
    <w:rsid w:val="00BD3988"/>
    <w:rsid w:val="00BD3C69"/>
    <w:rsid w:val="00BD3CC5"/>
    <w:rsid w:val="00BD3D7A"/>
    <w:rsid w:val="00BD3E46"/>
    <w:rsid w:val="00BD41C9"/>
    <w:rsid w:val="00BD471D"/>
    <w:rsid w:val="00BD5647"/>
    <w:rsid w:val="00BD567C"/>
    <w:rsid w:val="00BD5A65"/>
    <w:rsid w:val="00BD5BEC"/>
    <w:rsid w:val="00BD6145"/>
    <w:rsid w:val="00BD689C"/>
    <w:rsid w:val="00BD68BE"/>
    <w:rsid w:val="00BD6904"/>
    <w:rsid w:val="00BD7C78"/>
    <w:rsid w:val="00BD7F9E"/>
    <w:rsid w:val="00BE09DC"/>
    <w:rsid w:val="00BE0D74"/>
    <w:rsid w:val="00BE1378"/>
    <w:rsid w:val="00BE1A06"/>
    <w:rsid w:val="00BE1D3B"/>
    <w:rsid w:val="00BE20F7"/>
    <w:rsid w:val="00BE290A"/>
    <w:rsid w:val="00BE2BB7"/>
    <w:rsid w:val="00BE3ED7"/>
    <w:rsid w:val="00BE40F3"/>
    <w:rsid w:val="00BE53CC"/>
    <w:rsid w:val="00BE53DA"/>
    <w:rsid w:val="00BE573E"/>
    <w:rsid w:val="00BE65B3"/>
    <w:rsid w:val="00BE69FE"/>
    <w:rsid w:val="00BE6B37"/>
    <w:rsid w:val="00BE742D"/>
    <w:rsid w:val="00BE7A39"/>
    <w:rsid w:val="00BF0ACA"/>
    <w:rsid w:val="00BF0FD5"/>
    <w:rsid w:val="00BF1041"/>
    <w:rsid w:val="00BF10D2"/>
    <w:rsid w:val="00BF116C"/>
    <w:rsid w:val="00BF120B"/>
    <w:rsid w:val="00BF141C"/>
    <w:rsid w:val="00BF19D1"/>
    <w:rsid w:val="00BF22EE"/>
    <w:rsid w:val="00BF2AF0"/>
    <w:rsid w:val="00BF2BCD"/>
    <w:rsid w:val="00BF31CB"/>
    <w:rsid w:val="00BF3264"/>
    <w:rsid w:val="00BF37AD"/>
    <w:rsid w:val="00BF3D74"/>
    <w:rsid w:val="00BF4573"/>
    <w:rsid w:val="00BF4B69"/>
    <w:rsid w:val="00BF51F0"/>
    <w:rsid w:val="00BF5609"/>
    <w:rsid w:val="00BF5995"/>
    <w:rsid w:val="00BF60E3"/>
    <w:rsid w:val="00BF642F"/>
    <w:rsid w:val="00BF67D2"/>
    <w:rsid w:val="00BF6CBC"/>
    <w:rsid w:val="00BF6ECD"/>
    <w:rsid w:val="00BF70A1"/>
    <w:rsid w:val="00BF752F"/>
    <w:rsid w:val="00BF7530"/>
    <w:rsid w:val="00BF7D43"/>
    <w:rsid w:val="00C00478"/>
    <w:rsid w:val="00C00B95"/>
    <w:rsid w:val="00C00D06"/>
    <w:rsid w:val="00C00D60"/>
    <w:rsid w:val="00C00ED5"/>
    <w:rsid w:val="00C013A3"/>
    <w:rsid w:val="00C015CB"/>
    <w:rsid w:val="00C01B4D"/>
    <w:rsid w:val="00C02C93"/>
    <w:rsid w:val="00C03224"/>
    <w:rsid w:val="00C0409F"/>
    <w:rsid w:val="00C045D1"/>
    <w:rsid w:val="00C04D46"/>
    <w:rsid w:val="00C04F14"/>
    <w:rsid w:val="00C052F4"/>
    <w:rsid w:val="00C0546C"/>
    <w:rsid w:val="00C055A0"/>
    <w:rsid w:val="00C05663"/>
    <w:rsid w:val="00C05678"/>
    <w:rsid w:val="00C057E0"/>
    <w:rsid w:val="00C05972"/>
    <w:rsid w:val="00C0599D"/>
    <w:rsid w:val="00C05A43"/>
    <w:rsid w:val="00C05C20"/>
    <w:rsid w:val="00C05DB8"/>
    <w:rsid w:val="00C06066"/>
    <w:rsid w:val="00C067A4"/>
    <w:rsid w:val="00C06841"/>
    <w:rsid w:val="00C06A98"/>
    <w:rsid w:val="00C06B5C"/>
    <w:rsid w:val="00C0700D"/>
    <w:rsid w:val="00C071B3"/>
    <w:rsid w:val="00C076F5"/>
    <w:rsid w:val="00C078CC"/>
    <w:rsid w:val="00C07B73"/>
    <w:rsid w:val="00C07CAD"/>
    <w:rsid w:val="00C10463"/>
    <w:rsid w:val="00C10D9D"/>
    <w:rsid w:val="00C10F3A"/>
    <w:rsid w:val="00C10F74"/>
    <w:rsid w:val="00C11183"/>
    <w:rsid w:val="00C11299"/>
    <w:rsid w:val="00C115C6"/>
    <w:rsid w:val="00C118E4"/>
    <w:rsid w:val="00C11CA8"/>
    <w:rsid w:val="00C11FE5"/>
    <w:rsid w:val="00C11FF6"/>
    <w:rsid w:val="00C122BF"/>
    <w:rsid w:val="00C13013"/>
    <w:rsid w:val="00C131F0"/>
    <w:rsid w:val="00C13314"/>
    <w:rsid w:val="00C139F7"/>
    <w:rsid w:val="00C13AD5"/>
    <w:rsid w:val="00C13C8A"/>
    <w:rsid w:val="00C143E2"/>
    <w:rsid w:val="00C14E24"/>
    <w:rsid w:val="00C14FE4"/>
    <w:rsid w:val="00C15135"/>
    <w:rsid w:val="00C15498"/>
    <w:rsid w:val="00C1558F"/>
    <w:rsid w:val="00C16B1B"/>
    <w:rsid w:val="00C173A3"/>
    <w:rsid w:val="00C17A77"/>
    <w:rsid w:val="00C17D89"/>
    <w:rsid w:val="00C20049"/>
    <w:rsid w:val="00C2068D"/>
    <w:rsid w:val="00C206C4"/>
    <w:rsid w:val="00C2086F"/>
    <w:rsid w:val="00C20945"/>
    <w:rsid w:val="00C2188F"/>
    <w:rsid w:val="00C219B3"/>
    <w:rsid w:val="00C21BD3"/>
    <w:rsid w:val="00C21C0C"/>
    <w:rsid w:val="00C22495"/>
    <w:rsid w:val="00C22678"/>
    <w:rsid w:val="00C23195"/>
    <w:rsid w:val="00C232DD"/>
    <w:rsid w:val="00C2396F"/>
    <w:rsid w:val="00C23CF9"/>
    <w:rsid w:val="00C24018"/>
    <w:rsid w:val="00C2423A"/>
    <w:rsid w:val="00C2448C"/>
    <w:rsid w:val="00C24DDC"/>
    <w:rsid w:val="00C24EE5"/>
    <w:rsid w:val="00C25851"/>
    <w:rsid w:val="00C259E3"/>
    <w:rsid w:val="00C25BCD"/>
    <w:rsid w:val="00C264E8"/>
    <w:rsid w:val="00C268D9"/>
    <w:rsid w:val="00C26A24"/>
    <w:rsid w:val="00C271D7"/>
    <w:rsid w:val="00C27661"/>
    <w:rsid w:val="00C27E62"/>
    <w:rsid w:val="00C300D9"/>
    <w:rsid w:val="00C30406"/>
    <w:rsid w:val="00C30D3F"/>
    <w:rsid w:val="00C30DAA"/>
    <w:rsid w:val="00C30F1F"/>
    <w:rsid w:val="00C31089"/>
    <w:rsid w:val="00C319A2"/>
    <w:rsid w:val="00C31B11"/>
    <w:rsid w:val="00C32066"/>
    <w:rsid w:val="00C32075"/>
    <w:rsid w:val="00C3208A"/>
    <w:rsid w:val="00C32A2C"/>
    <w:rsid w:val="00C332C5"/>
    <w:rsid w:val="00C337F3"/>
    <w:rsid w:val="00C33B98"/>
    <w:rsid w:val="00C33FF0"/>
    <w:rsid w:val="00C3400C"/>
    <w:rsid w:val="00C34751"/>
    <w:rsid w:val="00C34A78"/>
    <w:rsid w:val="00C34C05"/>
    <w:rsid w:val="00C35632"/>
    <w:rsid w:val="00C3566B"/>
    <w:rsid w:val="00C35B23"/>
    <w:rsid w:val="00C35BE3"/>
    <w:rsid w:val="00C36064"/>
    <w:rsid w:val="00C36446"/>
    <w:rsid w:val="00C36BFA"/>
    <w:rsid w:val="00C37050"/>
    <w:rsid w:val="00C3706C"/>
    <w:rsid w:val="00C37D75"/>
    <w:rsid w:val="00C4018E"/>
    <w:rsid w:val="00C408E4"/>
    <w:rsid w:val="00C40FA9"/>
    <w:rsid w:val="00C41332"/>
    <w:rsid w:val="00C419A3"/>
    <w:rsid w:val="00C41B56"/>
    <w:rsid w:val="00C41D2B"/>
    <w:rsid w:val="00C42008"/>
    <w:rsid w:val="00C42605"/>
    <w:rsid w:val="00C42BE0"/>
    <w:rsid w:val="00C431A1"/>
    <w:rsid w:val="00C444D9"/>
    <w:rsid w:val="00C44500"/>
    <w:rsid w:val="00C447FB"/>
    <w:rsid w:val="00C449DC"/>
    <w:rsid w:val="00C44D7F"/>
    <w:rsid w:val="00C44FA9"/>
    <w:rsid w:val="00C4534F"/>
    <w:rsid w:val="00C45B04"/>
    <w:rsid w:val="00C45C04"/>
    <w:rsid w:val="00C460CA"/>
    <w:rsid w:val="00C4650E"/>
    <w:rsid w:val="00C46896"/>
    <w:rsid w:val="00C46E5B"/>
    <w:rsid w:val="00C479D8"/>
    <w:rsid w:val="00C47AE8"/>
    <w:rsid w:val="00C50066"/>
    <w:rsid w:val="00C5017F"/>
    <w:rsid w:val="00C50DEA"/>
    <w:rsid w:val="00C51B51"/>
    <w:rsid w:val="00C51E2A"/>
    <w:rsid w:val="00C51E3D"/>
    <w:rsid w:val="00C51F1A"/>
    <w:rsid w:val="00C522F8"/>
    <w:rsid w:val="00C5257E"/>
    <w:rsid w:val="00C52BD9"/>
    <w:rsid w:val="00C52FE0"/>
    <w:rsid w:val="00C5337B"/>
    <w:rsid w:val="00C53563"/>
    <w:rsid w:val="00C53F2D"/>
    <w:rsid w:val="00C544A6"/>
    <w:rsid w:val="00C544CA"/>
    <w:rsid w:val="00C54C62"/>
    <w:rsid w:val="00C55231"/>
    <w:rsid w:val="00C55DBE"/>
    <w:rsid w:val="00C563DF"/>
    <w:rsid w:val="00C56D62"/>
    <w:rsid w:val="00C5709E"/>
    <w:rsid w:val="00C57750"/>
    <w:rsid w:val="00C57B2A"/>
    <w:rsid w:val="00C57CC6"/>
    <w:rsid w:val="00C604D8"/>
    <w:rsid w:val="00C60EC1"/>
    <w:rsid w:val="00C61F3D"/>
    <w:rsid w:val="00C620E3"/>
    <w:rsid w:val="00C62997"/>
    <w:rsid w:val="00C629CE"/>
    <w:rsid w:val="00C62B6B"/>
    <w:rsid w:val="00C62DEF"/>
    <w:rsid w:val="00C62F42"/>
    <w:rsid w:val="00C632B9"/>
    <w:rsid w:val="00C63306"/>
    <w:rsid w:val="00C633A9"/>
    <w:rsid w:val="00C633AB"/>
    <w:rsid w:val="00C64521"/>
    <w:rsid w:val="00C64524"/>
    <w:rsid w:val="00C64849"/>
    <w:rsid w:val="00C65571"/>
    <w:rsid w:val="00C65719"/>
    <w:rsid w:val="00C65A22"/>
    <w:rsid w:val="00C65F58"/>
    <w:rsid w:val="00C66223"/>
    <w:rsid w:val="00C66571"/>
    <w:rsid w:val="00C667F6"/>
    <w:rsid w:val="00C66941"/>
    <w:rsid w:val="00C66B7F"/>
    <w:rsid w:val="00C66C4B"/>
    <w:rsid w:val="00C66D92"/>
    <w:rsid w:val="00C66E0C"/>
    <w:rsid w:val="00C67420"/>
    <w:rsid w:val="00C679BA"/>
    <w:rsid w:val="00C67DC4"/>
    <w:rsid w:val="00C67E29"/>
    <w:rsid w:val="00C67E42"/>
    <w:rsid w:val="00C67F48"/>
    <w:rsid w:val="00C67F70"/>
    <w:rsid w:val="00C7000C"/>
    <w:rsid w:val="00C70551"/>
    <w:rsid w:val="00C7123D"/>
    <w:rsid w:val="00C712D3"/>
    <w:rsid w:val="00C71478"/>
    <w:rsid w:val="00C71BA0"/>
    <w:rsid w:val="00C71C74"/>
    <w:rsid w:val="00C71CA1"/>
    <w:rsid w:val="00C71CB1"/>
    <w:rsid w:val="00C71E4D"/>
    <w:rsid w:val="00C7296E"/>
    <w:rsid w:val="00C72AD3"/>
    <w:rsid w:val="00C72C50"/>
    <w:rsid w:val="00C72C7A"/>
    <w:rsid w:val="00C73242"/>
    <w:rsid w:val="00C7357D"/>
    <w:rsid w:val="00C73994"/>
    <w:rsid w:val="00C74102"/>
    <w:rsid w:val="00C741B5"/>
    <w:rsid w:val="00C75004"/>
    <w:rsid w:val="00C753D7"/>
    <w:rsid w:val="00C755E8"/>
    <w:rsid w:val="00C755EF"/>
    <w:rsid w:val="00C7563A"/>
    <w:rsid w:val="00C75970"/>
    <w:rsid w:val="00C75A2B"/>
    <w:rsid w:val="00C75A42"/>
    <w:rsid w:val="00C75C9D"/>
    <w:rsid w:val="00C76125"/>
    <w:rsid w:val="00C76771"/>
    <w:rsid w:val="00C76924"/>
    <w:rsid w:val="00C76A43"/>
    <w:rsid w:val="00C77113"/>
    <w:rsid w:val="00C771C3"/>
    <w:rsid w:val="00C77622"/>
    <w:rsid w:val="00C77764"/>
    <w:rsid w:val="00C80AA0"/>
    <w:rsid w:val="00C80F8C"/>
    <w:rsid w:val="00C811D4"/>
    <w:rsid w:val="00C81268"/>
    <w:rsid w:val="00C8128C"/>
    <w:rsid w:val="00C81340"/>
    <w:rsid w:val="00C8198E"/>
    <w:rsid w:val="00C81B6A"/>
    <w:rsid w:val="00C820AB"/>
    <w:rsid w:val="00C82725"/>
    <w:rsid w:val="00C82C71"/>
    <w:rsid w:val="00C82E5F"/>
    <w:rsid w:val="00C82EE6"/>
    <w:rsid w:val="00C83234"/>
    <w:rsid w:val="00C8324B"/>
    <w:rsid w:val="00C8338A"/>
    <w:rsid w:val="00C83B8B"/>
    <w:rsid w:val="00C83EEB"/>
    <w:rsid w:val="00C84103"/>
    <w:rsid w:val="00C84192"/>
    <w:rsid w:val="00C854B8"/>
    <w:rsid w:val="00C8567F"/>
    <w:rsid w:val="00C8572A"/>
    <w:rsid w:val="00C85BCA"/>
    <w:rsid w:val="00C8624E"/>
    <w:rsid w:val="00C8650D"/>
    <w:rsid w:val="00C8781D"/>
    <w:rsid w:val="00C87993"/>
    <w:rsid w:val="00C87C97"/>
    <w:rsid w:val="00C87CCD"/>
    <w:rsid w:val="00C9000B"/>
    <w:rsid w:val="00C9055C"/>
    <w:rsid w:val="00C905AC"/>
    <w:rsid w:val="00C90B13"/>
    <w:rsid w:val="00C90DC3"/>
    <w:rsid w:val="00C90F7A"/>
    <w:rsid w:val="00C91B3B"/>
    <w:rsid w:val="00C91CFB"/>
    <w:rsid w:val="00C91FAC"/>
    <w:rsid w:val="00C922C5"/>
    <w:rsid w:val="00C92BFE"/>
    <w:rsid w:val="00C930E0"/>
    <w:rsid w:val="00C93297"/>
    <w:rsid w:val="00C93452"/>
    <w:rsid w:val="00C93600"/>
    <w:rsid w:val="00C93D21"/>
    <w:rsid w:val="00C93DE2"/>
    <w:rsid w:val="00C94BD7"/>
    <w:rsid w:val="00C95730"/>
    <w:rsid w:val="00C95793"/>
    <w:rsid w:val="00C95962"/>
    <w:rsid w:val="00C95B86"/>
    <w:rsid w:val="00C96580"/>
    <w:rsid w:val="00C96FBB"/>
    <w:rsid w:val="00C96FE0"/>
    <w:rsid w:val="00C97A6E"/>
    <w:rsid w:val="00C97AF1"/>
    <w:rsid w:val="00CA0129"/>
    <w:rsid w:val="00CA04E7"/>
    <w:rsid w:val="00CA077D"/>
    <w:rsid w:val="00CA0925"/>
    <w:rsid w:val="00CA09AA"/>
    <w:rsid w:val="00CA0BA6"/>
    <w:rsid w:val="00CA0CF9"/>
    <w:rsid w:val="00CA0E08"/>
    <w:rsid w:val="00CA0E3D"/>
    <w:rsid w:val="00CA16C1"/>
    <w:rsid w:val="00CA1D4B"/>
    <w:rsid w:val="00CA205D"/>
    <w:rsid w:val="00CA237B"/>
    <w:rsid w:val="00CA284C"/>
    <w:rsid w:val="00CA2919"/>
    <w:rsid w:val="00CA2C56"/>
    <w:rsid w:val="00CA2F7F"/>
    <w:rsid w:val="00CA3315"/>
    <w:rsid w:val="00CA34C9"/>
    <w:rsid w:val="00CA3677"/>
    <w:rsid w:val="00CA4D70"/>
    <w:rsid w:val="00CA5D46"/>
    <w:rsid w:val="00CA5DA1"/>
    <w:rsid w:val="00CA5DC1"/>
    <w:rsid w:val="00CA60CC"/>
    <w:rsid w:val="00CA63D2"/>
    <w:rsid w:val="00CA6734"/>
    <w:rsid w:val="00CA68EC"/>
    <w:rsid w:val="00CA718E"/>
    <w:rsid w:val="00CA768C"/>
    <w:rsid w:val="00CA7692"/>
    <w:rsid w:val="00CB0025"/>
    <w:rsid w:val="00CB006D"/>
    <w:rsid w:val="00CB047F"/>
    <w:rsid w:val="00CB10AB"/>
    <w:rsid w:val="00CB11BD"/>
    <w:rsid w:val="00CB123B"/>
    <w:rsid w:val="00CB1EB9"/>
    <w:rsid w:val="00CB228B"/>
    <w:rsid w:val="00CB2533"/>
    <w:rsid w:val="00CB27B4"/>
    <w:rsid w:val="00CB2BBD"/>
    <w:rsid w:val="00CB3010"/>
    <w:rsid w:val="00CB3501"/>
    <w:rsid w:val="00CB3555"/>
    <w:rsid w:val="00CB3C7A"/>
    <w:rsid w:val="00CB45C9"/>
    <w:rsid w:val="00CB45E6"/>
    <w:rsid w:val="00CB4F8A"/>
    <w:rsid w:val="00CB4FA5"/>
    <w:rsid w:val="00CB5035"/>
    <w:rsid w:val="00CB5562"/>
    <w:rsid w:val="00CB57B0"/>
    <w:rsid w:val="00CB58DD"/>
    <w:rsid w:val="00CB59CE"/>
    <w:rsid w:val="00CB5CCA"/>
    <w:rsid w:val="00CB6343"/>
    <w:rsid w:val="00CB6A43"/>
    <w:rsid w:val="00CB6BF1"/>
    <w:rsid w:val="00CB6F5B"/>
    <w:rsid w:val="00CB72C5"/>
    <w:rsid w:val="00CB7648"/>
    <w:rsid w:val="00CB7B6B"/>
    <w:rsid w:val="00CC00CC"/>
    <w:rsid w:val="00CC03D1"/>
    <w:rsid w:val="00CC0EEC"/>
    <w:rsid w:val="00CC0FAB"/>
    <w:rsid w:val="00CC11B5"/>
    <w:rsid w:val="00CC12F4"/>
    <w:rsid w:val="00CC1B36"/>
    <w:rsid w:val="00CC1E3E"/>
    <w:rsid w:val="00CC1E40"/>
    <w:rsid w:val="00CC1EB5"/>
    <w:rsid w:val="00CC27F5"/>
    <w:rsid w:val="00CC2965"/>
    <w:rsid w:val="00CC3929"/>
    <w:rsid w:val="00CC4072"/>
    <w:rsid w:val="00CC48BE"/>
    <w:rsid w:val="00CC4A05"/>
    <w:rsid w:val="00CC4FCB"/>
    <w:rsid w:val="00CC5048"/>
    <w:rsid w:val="00CC5A8D"/>
    <w:rsid w:val="00CC5BA7"/>
    <w:rsid w:val="00CC5C88"/>
    <w:rsid w:val="00CC606C"/>
    <w:rsid w:val="00CC6B47"/>
    <w:rsid w:val="00CC71EE"/>
    <w:rsid w:val="00CC78CF"/>
    <w:rsid w:val="00CC7D29"/>
    <w:rsid w:val="00CC7E18"/>
    <w:rsid w:val="00CC7E20"/>
    <w:rsid w:val="00CD06F6"/>
    <w:rsid w:val="00CD084C"/>
    <w:rsid w:val="00CD0974"/>
    <w:rsid w:val="00CD0CB1"/>
    <w:rsid w:val="00CD121B"/>
    <w:rsid w:val="00CD1762"/>
    <w:rsid w:val="00CD1812"/>
    <w:rsid w:val="00CD1DD3"/>
    <w:rsid w:val="00CD264D"/>
    <w:rsid w:val="00CD305F"/>
    <w:rsid w:val="00CD309B"/>
    <w:rsid w:val="00CD3122"/>
    <w:rsid w:val="00CD31C9"/>
    <w:rsid w:val="00CD3A28"/>
    <w:rsid w:val="00CD3EBE"/>
    <w:rsid w:val="00CD3F09"/>
    <w:rsid w:val="00CD40C3"/>
    <w:rsid w:val="00CD4436"/>
    <w:rsid w:val="00CD492B"/>
    <w:rsid w:val="00CD574E"/>
    <w:rsid w:val="00CD5C78"/>
    <w:rsid w:val="00CD5DEF"/>
    <w:rsid w:val="00CD6129"/>
    <w:rsid w:val="00CD62D2"/>
    <w:rsid w:val="00CD6CDA"/>
    <w:rsid w:val="00CD7152"/>
    <w:rsid w:val="00CD7F7D"/>
    <w:rsid w:val="00CD7FA5"/>
    <w:rsid w:val="00CE0112"/>
    <w:rsid w:val="00CE02E6"/>
    <w:rsid w:val="00CE03B6"/>
    <w:rsid w:val="00CE05F2"/>
    <w:rsid w:val="00CE0ACA"/>
    <w:rsid w:val="00CE0EF9"/>
    <w:rsid w:val="00CE1225"/>
    <w:rsid w:val="00CE18BC"/>
    <w:rsid w:val="00CE1AA9"/>
    <w:rsid w:val="00CE1C3C"/>
    <w:rsid w:val="00CE22D6"/>
    <w:rsid w:val="00CE2806"/>
    <w:rsid w:val="00CE3257"/>
    <w:rsid w:val="00CE34E2"/>
    <w:rsid w:val="00CE3684"/>
    <w:rsid w:val="00CE420D"/>
    <w:rsid w:val="00CE42DF"/>
    <w:rsid w:val="00CE4CEC"/>
    <w:rsid w:val="00CE549D"/>
    <w:rsid w:val="00CE5545"/>
    <w:rsid w:val="00CE5C99"/>
    <w:rsid w:val="00CE6064"/>
    <w:rsid w:val="00CE6731"/>
    <w:rsid w:val="00CE6AD5"/>
    <w:rsid w:val="00CE7150"/>
    <w:rsid w:val="00CE75DE"/>
    <w:rsid w:val="00CE762E"/>
    <w:rsid w:val="00CE76BD"/>
    <w:rsid w:val="00CE7AB3"/>
    <w:rsid w:val="00CE7CDF"/>
    <w:rsid w:val="00CE7DC3"/>
    <w:rsid w:val="00CE7E29"/>
    <w:rsid w:val="00CE7FDF"/>
    <w:rsid w:val="00CF00D0"/>
    <w:rsid w:val="00CF00F1"/>
    <w:rsid w:val="00CF028E"/>
    <w:rsid w:val="00CF02AC"/>
    <w:rsid w:val="00CF06E6"/>
    <w:rsid w:val="00CF0CD7"/>
    <w:rsid w:val="00CF1155"/>
    <w:rsid w:val="00CF11C2"/>
    <w:rsid w:val="00CF13B7"/>
    <w:rsid w:val="00CF185D"/>
    <w:rsid w:val="00CF1B5C"/>
    <w:rsid w:val="00CF1E7D"/>
    <w:rsid w:val="00CF2304"/>
    <w:rsid w:val="00CF2639"/>
    <w:rsid w:val="00CF2ED9"/>
    <w:rsid w:val="00CF2F69"/>
    <w:rsid w:val="00CF35E4"/>
    <w:rsid w:val="00CF399F"/>
    <w:rsid w:val="00CF3F01"/>
    <w:rsid w:val="00CF4557"/>
    <w:rsid w:val="00CF52E1"/>
    <w:rsid w:val="00CF557C"/>
    <w:rsid w:val="00CF5E32"/>
    <w:rsid w:val="00CF69F6"/>
    <w:rsid w:val="00CF6AF3"/>
    <w:rsid w:val="00CF7569"/>
    <w:rsid w:val="00CF75C7"/>
    <w:rsid w:val="00D0070F"/>
    <w:rsid w:val="00D014A9"/>
    <w:rsid w:val="00D017EE"/>
    <w:rsid w:val="00D01951"/>
    <w:rsid w:val="00D01AD6"/>
    <w:rsid w:val="00D01BEE"/>
    <w:rsid w:val="00D02369"/>
    <w:rsid w:val="00D02621"/>
    <w:rsid w:val="00D027B3"/>
    <w:rsid w:val="00D027DB"/>
    <w:rsid w:val="00D02AC8"/>
    <w:rsid w:val="00D02C36"/>
    <w:rsid w:val="00D030FC"/>
    <w:rsid w:val="00D03416"/>
    <w:rsid w:val="00D03684"/>
    <w:rsid w:val="00D03C50"/>
    <w:rsid w:val="00D03FC3"/>
    <w:rsid w:val="00D04C5E"/>
    <w:rsid w:val="00D04D39"/>
    <w:rsid w:val="00D04FC8"/>
    <w:rsid w:val="00D053BD"/>
    <w:rsid w:val="00D05B91"/>
    <w:rsid w:val="00D05FD4"/>
    <w:rsid w:val="00D06088"/>
    <w:rsid w:val="00D061FF"/>
    <w:rsid w:val="00D062D7"/>
    <w:rsid w:val="00D065A5"/>
    <w:rsid w:val="00D0675C"/>
    <w:rsid w:val="00D0678B"/>
    <w:rsid w:val="00D067C6"/>
    <w:rsid w:val="00D06800"/>
    <w:rsid w:val="00D069DA"/>
    <w:rsid w:val="00D06BB8"/>
    <w:rsid w:val="00D06EF9"/>
    <w:rsid w:val="00D073A5"/>
    <w:rsid w:val="00D078E3"/>
    <w:rsid w:val="00D0798F"/>
    <w:rsid w:val="00D07A46"/>
    <w:rsid w:val="00D07ADD"/>
    <w:rsid w:val="00D10199"/>
    <w:rsid w:val="00D10FB7"/>
    <w:rsid w:val="00D11064"/>
    <w:rsid w:val="00D11683"/>
    <w:rsid w:val="00D11873"/>
    <w:rsid w:val="00D12033"/>
    <w:rsid w:val="00D12B22"/>
    <w:rsid w:val="00D12BDB"/>
    <w:rsid w:val="00D137D8"/>
    <w:rsid w:val="00D13880"/>
    <w:rsid w:val="00D13C22"/>
    <w:rsid w:val="00D14204"/>
    <w:rsid w:val="00D14A8A"/>
    <w:rsid w:val="00D14F37"/>
    <w:rsid w:val="00D1624D"/>
    <w:rsid w:val="00D16336"/>
    <w:rsid w:val="00D164BF"/>
    <w:rsid w:val="00D1674E"/>
    <w:rsid w:val="00D16A3F"/>
    <w:rsid w:val="00D16A45"/>
    <w:rsid w:val="00D16B5C"/>
    <w:rsid w:val="00D16FBF"/>
    <w:rsid w:val="00D17758"/>
    <w:rsid w:val="00D20083"/>
    <w:rsid w:val="00D20E2C"/>
    <w:rsid w:val="00D21071"/>
    <w:rsid w:val="00D217CE"/>
    <w:rsid w:val="00D21CAF"/>
    <w:rsid w:val="00D22050"/>
    <w:rsid w:val="00D22D38"/>
    <w:rsid w:val="00D22EE4"/>
    <w:rsid w:val="00D231AF"/>
    <w:rsid w:val="00D23428"/>
    <w:rsid w:val="00D23492"/>
    <w:rsid w:val="00D23556"/>
    <w:rsid w:val="00D23BB8"/>
    <w:rsid w:val="00D241DF"/>
    <w:rsid w:val="00D245DB"/>
    <w:rsid w:val="00D24DBB"/>
    <w:rsid w:val="00D24EFE"/>
    <w:rsid w:val="00D252EE"/>
    <w:rsid w:val="00D25B79"/>
    <w:rsid w:val="00D26832"/>
    <w:rsid w:val="00D26A50"/>
    <w:rsid w:val="00D26F41"/>
    <w:rsid w:val="00D26FFB"/>
    <w:rsid w:val="00D27327"/>
    <w:rsid w:val="00D27695"/>
    <w:rsid w:val="00D27BB0"/>
    <w:rsid w:val="00D30320"/>
    <w:rsid w:val="00D3059E"/>
    <w:rsid w:val="00D3071F"/>
    <w:rsid w:val="00D30756"/>
    <w:rsid w:val="00D30C6F"/>
    <w:rsid w:val="00D31502"/>
    <w:rsid w:val="00D31BCC"/>
    <w:rsid w:val="00D32844"/>
    <w:rsid w:val="00D32B70"/>
    <w:rsid w:val="00D332A0"/>
    <w:rsid w:val="00D33313"/>
    <w:rsid w:val="00D33410"/>
    <w:rsid w:val="00D334D0"/>
    <w:rsid w:val="00D33783"/>
    <w:rsid w:val="00D33DB2"/>
    <w:rsid w:val="00D33EF4"/>
    <w:rsid w:val="00D33F16"/>
    <w:rsid w:val="00D3410B"/>
    <w:rsid w:val="00D344C9"/>
    <w:rsid w:val="00D34666"/>
    <w:rsid w:val="00D34A88"/>
    <w:rsid w:val="00D34F9F"/>
    <w:rsid w:val="00D358FF"/>
    <w:rsid w:val="00D359B2"/>
    <w:rsid w:val="00D35D3E"/>
    <w:rsid w:val="00D3608B"/>
    <w:rsid w:val="00D360EE"/>
    <w:rsid w:val="00D3610A"/>
    <w:rsid w:val="00D3625E"/>
    <w:rsid w:val="00D364A5"/>
    <w:rsid w:val="00D36706"/>
    <w:rsid w:val="00D367E7"/>
    <w:rsid w:val="00D36ED4"/>
    <w:rsid w:val="00D40017"/>
    <w:rsid w:val="00D40160"/>
    <w:rsid w:val="00D40494"/>
    <w:rsid w:val="00D40589"/>
    <w:rsid w:val="00D41054"/>
    <w:rsid w:val="00D41274"/>
    <w:rsid w:val="00D41284"/>
    <w:rsid w:val="00D41B9F"/>
    <w:rsid w:val="00D41F65"/>
    <w:rsid w:val="00D422E4"/>
    <w:rsid w:val="00D423C9"/>
    <w:rsid w:val="00D429B7"/>
    <w:rsid w:val="00D42ABC"/>
    <w:rsid w:val="00D4357E"/>
    <w:rsid w:val="00D43B6E"/>
    <w:rsid w:val="00D44A5C"/>
    <w:rsid w:val="00D44B18"/>
    <w:rsid w:val="00D45401"/>
    <w:rsid w:val="00D4570F"/>
    <w:rsid w:val="00D45E78"/>
    <w:rsid w:val="00D4611C"/>
    <w:rsid w:val="00D46872"/>
    <w:rsid w:val="00D46D8E"/>
    <w:rsid w:val="00D46E80"/>
    <w:rsid w:val="00D46F2D"/>
    <w:rsid w:val="00D475CC"/>
    <w:rsid w:val="00D47F59"/>
    <w:rsid w:val="00D47FB0"/>
    <w:rsid w:val="00D50059"/>
    <w:rsid w:val="00D50835"/>
    <w:rsid w:val="00D50990"/>
    <w:rsid w:val="00D50DA8"/>
    <w:rsid w:val="00D50DBE"/>
    <w:rsid w:val="00D50F95"/>
    <w:rsid w:val="00D50FEE"/>
    <w:rsid w:val="00D51017"/>
    <w:rsid w:val="00D51565"/>
    <w:rsid w:val="00D52200"/>
    <w:rsid w:val="00D5220D"/>
    <w:rsid w:val="00D52A1D"/>
    <w:rsid w:val="00D52F0F"/>
    <w:rsid w:val="00D533C4"/>
    <w:rsid w:val="00D535D2"/>
    <w:rsid w:val="00D53768"/>
    <w:rsid w:val="00D54135"/>
    <w:rsid w:val="00D5456B"/>
    <w:rsid w:val="00D54633"/>
    <w:rsid w:val="00D546B1"/>
    <w:rsid w:val="00D55044"/>
    <w:rsid w:val="00D5521C"/>
    <w:rsid w:val="00D554E6"/>
    <w:rsid w:val="00D55553"/>
    <w:rsid w:val="00D5572E"/>
    <w:rsid w:val="00D558E5"/>
    <w:rsid w:val="00D55C37"/>
    <w:rsid w:val="00D55C70"/>
    <w:rsid w:val="00D56116"/>
    <w:rsid w:val="00D563C2"/>
    <w:rsid w:val="00D56D08"/>
    <w:rsid w:val="00D56D65"/>
    <w:rsid w:val="00D575D9"/>
    <w:rsid w:val="00D57620"/>
    <w:rsid w:val="00D57F22"/>
    <w:rsid w:val="00D60018"/>
    <w:rsid w:val="00D6015B"/>
    <w:rsid w:val="00D6036C"/>
    <w:rsid w:val="00D60669"/>
    <w:rsid w:val="00D6078C"/>
    <w:rsid w:val="00D608B8"/>
    <w:rsid w:val="00D60908"/>
    <w:rsid w:val="00D60932"/>
    <w:rsid w:val="00D61292"/>
    <w:rsid w:val="00D61374"/>
    <w:rsid w:val="00D621D2"/>
    <w:rsid w:val="00D62335"/>
    <w:rsid w:val="00D6278F"/>
    <w:rsid w:val="00D62949"/>
    <w:rsid w:val="00D6294A"/>
    <w:rsid w:val="00D629D9"/>
    <w:rsid w:val="00D62B31"/>
    <w:rsid w:val="00D62D71"/>
    <w:rsid w:val="00D63929"/>
    <w:rsid w:val="00D63C8D"/>
    <w:rsid w:val="00D63D24"/>
    <w:rsid w:val="00D64392"/>
    <w:rsid w:val="00D646E9"/>
    <w:rsid w:val="00D648E6"/>
    <w:rsid w:val="00D64B2C"/>
    <w:rsid w:val="00D64BCA"/>
    <w:rsid w:val="00D64ED3"/>
    <w:rsid w:val="00D655BC"/>
    <w:rsid w:val="00D66022"/>
    <w:rsid w:val="00D66065"/>
    <w:rsid w:val="00D6670E"/>
    <w:rsid w:val="00D66B14"/>
    <w:rsid w:val="00D67947"/>
    <w:rsid w:val="00D7010A"/>
    <w:rsid w:val="00D7040B"/>
    <w:rsid w:val="00D70B79"/>
    <w:rsid w:val="00D70D46"/>
    <w:rsid w:val="00D70E81"/>
    <w:rsid w:val="00D70F5E"/>
    <w:rsid w:val="00D70FEB"/>
    <w:rsid w:val="00D71407"/>
    <w:rsid w:val="00D7143F"/>
    <w:rsid w:val="00D71591"/>
    <w:rsid w:val="00D71968"/>
    <w:rsid w:val="00D71B96"/>
    <w:rsid w:val="00D71F01"/>
    <w:rsid w:val="00D72894"/>
    <w:rsid w:val="00D72DEB"/>
    <w:rsid w:val="00D7358C"/>
    <w:rsid w:val="00D73672"/>
    <w:rsid w:val="00D7368A"/>
    <w:rsid w:val="00D737EE"/>
    <w:rsid w:val="00D73F90"/>
    <w:rsid w:val="00D74977"/>
    <w:rsid w:val="00D74E4B"/>
    <w:rsid w:val="00D74F4E"/>
    <w:rsid w:val="00D752E3"/>
    <w:rsid w:val="00D75773"/>
    <w:rsid w:val="00D75843"/>
    <w:rsid w:val="00D75999"/>
    <w:rsid w:val="00D75A5E"/>
    <w:rsid w:val="00D75D99"/>
    <w:rsid w:val="00D75EFD"/>
    <w:rsid w:val="00D7633C"/>
    <w:rsid w:val="00D7659D"/>
    <w:rsid w:val="00D76E83"/>
    <w:rsid w:val="00D76FF7"/>
    <w:rsid w:val="00D80135"/>
    <w:rsid w:val="00D8036A"/>
    <w:rsid w:val="00D81307"/>
    <w:rsid w:val="00D815EE"/>
    <w:rsid w:val="00D817EB"/>
    <w:rsid w:val="00D81A90"/>
    <w:rsid w:val="00D81B69"/>
    <w:rsid w:val="00D820E4"/>
    <w:rsid w:val="00D820F3"/>
    <w:rsid w:val="00D822CA"/>
    <w:rsid w:val="00D82B40"/>
    <w:rsid w:val="00D8372E"/>
    <w:rsid w:val="00D84268"/>
    <w:rsid w:val="00D8441E"/>
    <w:rsid w:val="00D84515"/>
    <w:rsid w:val="00D84824"/>
    <w:rsid w:val="00D84F73"/>
    <w:rsid w:val="00D857ED"/>
    <w:rsid w:val="00D85C74"/>
    <w:rsid w:val="00D8666C"/>
    <w:rsid w:val="00D86B3B"/>
    <w:rsid w:val="00D87151"/>
    <w:rsid w:val="00D876BB"/>
    <w:rsid w:val="00D8778A"/>
    <w:rsid w:val="00D87E48"/>
    <w:rsid w:val="00D90157"/>
    <w:rsid w:val="00D90446"/>
    <w:rsid w:val="00D90789"/>
    <w:rsid w:val="00D90D31"/>
    <w:rsid w:val="00D9120D"/>
    <w:rsid w:val="00D9126F"/>
    <w:rsid w:val="00D912DF"/>
    <w:rsid w:val="00D913B6"/>
    <w:rsid w:val="00D91416"/>
    <w:rsid w:val="00D91AC6"/>
    <w:rsid w:val="00D92265"/>
    <w:rsid w:val="00D9230B"/>
    <w:rsid w:val="00D92D3E"/>
    <w:rsid w:val="00D92E63"/>
    <w:rsid w:val="00D92F6C"/>
    <w:rsid w:val="00D93307"/>
    <w:rsid w:val="00D93722"/>
    <w:rsid w:val="00D93946"/>
    <w:rsid w:val="00D93FFD"/>
    <w:rsid w:val="00D94076"/>
    <w:rsid w:val="00D94372"/>
    <w:rsid w:val="00D948B1"/>
    <w:rsid w:val="00D9493F"/>
    <w:rsid w:val="00D94FCE"/>
    <w:rsid w:val="00D94FF3"/>
    <w:rsid w:val="00D95090"/>
    <w:rsid w:val="00D956F0"/>
    <w:rsid w:val="00D957C0"/>
    <w:rsid w:val="00D95B59"/>
    <w:rsid w:val="00D95BFF"/>
    <w:rsid w:val="00D95F6B"/>
    <w:rsid w:val="00D964B0"/>
    <w:rsid w:val="00D9684B"/>
    <w:rsid w:val="00D96AF8"/>
    <w:rsid w:val="00D97060"/>
    <w:rsid w:val="00D9752E"/>
    <w:rsid w:val="00D97826"/>
    <w:rsid w:val="00D9798C"/>
    <w:rsid w:val="00DA019E"/>
    <w:rsid w:val="00DA0590"/>
    <w:rsid w:val="00DA0AA8"/>
    <w:rsid w:val="00DA0F8E"/>
    <w:rsid w:val="00DA0FC0"/>
    <w:rsid w:val="00DA1176"/>
    <w:rsid w:val="00DA12A3"/>
    <w:rsid w:val="00DA1985"/>
    <w:rsid w:val="00DA1D80"/>
    <w:rsid w:val="00DA2046"/>
    <w:rsid w:val="00DA2BCC"/>
    <w:rsid w:val="00DA30FB"/>
    <w:rsid w:val="00DA3454"/>
    <w:rsid w:val="00DA3F00"/>
    <w:rsid w:val="00DA4379"/>
    <w:rsid w:val="00DA4800"/>
    <w:rsid w:val="00DA6063"/>
    <w:rsid w:val="00DA631B"/>
    <w:rsid w:val="00DA6B8E"/>
    <w:rsid w:val="00DA7074"/>
    <w:rsid w:val="00DA727D"/>
    <w:rsid w:val="00DA773F"/>
    <w:rsid w:val="00DA7AF6"/>
    <w:rsid w:val="00DA7BC7"/>
    <w:rsid w:val="00DA7CE9"/>
    <w:rsid w:val="00DB015D"/>
    <w:rsid w:val="00DB0564"/>
    <w:rsid w:val="00DB122B"/>
    <w:rsid w:val="00DB128F"/>
    <w:rsid w:val="00DB1539"/>
    <w:rsid w:val="00DB1B91"/>
    <w:rsid w:val="00DB2014"/>
    <w:rsid w:val="00DB21E6"/>
    <w:rsid w:val="00DB220E"/>
    <w:rsid w:val="00DB2369"/>
    <w:rsid w:val="00DB2523"/>
    <w:rsid w:val="00DB2559"/>
    <w:rsid w:val="00DB2637"/>
    <w:rsid w:val="00DB272C"/>
    <w:rsid w:val="00DB2C26"/>
    <w:rsid w:val="00DB35C7"/>
    <w:rsid w:val="00DB3689"/>
    <w:rsid w:val="00DB39DE"/>
    <w:rsid w:val="00DB405C"/>
    <w:rsid w:val="00DB4322"/>
    <w:rsid w:val="00DB4699"/>
    <w:rsid w:val="00DB4A39"/>
    <w:rsid w:val="00DB518A"/>
    <w:rsid w:val="00DB533A"/>
    <w:rsid w:val="00DB5C4A"/>
    <w:rsid w:val="00DB5C61"/>
    <w:rsid w:val="00DB5EE5"/>
    <w:rsid w:val="00DB60F8"/>
    <w:rsid w:val="00DB67C2"/>
    <w:rsid w:val="00DB67D0"/>
    <w:rsid w:val="00DB68AB"/>
    <w:rsid w:val="00DB6AA0"/>
    <w:rsid w:val="00DB6DF3"/>
    <w:rsid w:val="00DB6E7E"/>
    <w:rsid w:val="00DB7507"/>
    <w:rsid w:val="00DB75E6"/>
    <w:rsid w:val="00DB7AA5"/>
    <w:rsid w:val="00DB7D93"/>
    <w:rsid w:val="00DB7E8C"/>
    <w:rsid w:val="00DC05F0"/>
    <w:rsid w:val="00DC0BF8"/>
    <w:rsid w:val="00DC0D0D"/>
    <w:rsid w:val="00DC0F93"/>
    <w:rsid w:val="00DC0FBD"/>
    <w:rsid w:val="00DC1329"/>
    <w:rsid w:val="00DC1639"/>
    <w:rsid w:val="00DC16C2"/>
    <w:rsid w:val="00DC1763"/>
    <w:rsid w:val="00DC17C6"/>
    <w:rsid w:val="00DC2638"/>
    <w:rsid w:val="00DC28A6"/>
    <w:rsid w:val="00DC3BC7"/>
    <w:rsid w:val="00DC44FE"/>
    <w:rsid w:val="00DC47C3"/>
    <w:rsid w:val="00DC4A29"/>
    <w:rsid w:val="00DC4B4C"/>
    <w:rsid w:val="00DC4E8D"/>
    <w:rsid w:val="00DC54B4"/>
    <w:rsid w:val="00DC5A5E"/>
    <w:rsid w:val="00DC60E1"/>
    <w:rsid w:val="00DC6A94"/>
    <w:rsid w:val="00DC76BA"/>
    <w:rsid w:val="00DC7704"/>
    <w:rsid w:val="00DC7EEC"/>
    <w:rsid w:val="00DD071E"/>
    <w:rsid w:val="00DD0860"/>
    <w:rsid w:val="00DD0F56"/>
    <w:rsid w:val="00DD132F"/>
    <w:rsid w:val="00DD1521"/>
    <w:rsid w:val="00DD1658"/>
    <w:rsid w:val="00DD16C9"/>
    <w:rsid w:val="00DD1C2F"/>
    <w:rsid w:val="00DD1ED7"/>
    <w:rsid w:val="00DD242B"/>
    <w:rsid w:val="00DD26A3"/>
    <w:rsid w:val="00DD2731"/>
    <w:rsid w:val="00DD2C54"/>
    <w:rsid w:val="00DD3430"/>
    <w:rsid w:val="00DD35A0"/>
    <w:rsid w:val="00DD3AA8"/>
    <w:rsid w:val="00DD400D"/>
    <w:rsid w:val="00DD584C"/>
    <w:rsid w:val="00DD6396"/>
    <w:rsid w:val="00DD6621"/>
    <w:rsid w:val="00DD6C70"/>
    <w:rsid w:val="00DD6E8E"/>
    <w:rsid w:val="00DD70C8"/>
    <w:rsid w:val="00DD7F36"/>
    <w:rsid w:val="00DE0C03"/>
    <w:rsid w:val="00DE0DBF"/>
    <w:rsid w:val="00DE21CF"/>
    <w:rsid w:val="00DE273A"/>
    <w:rsid w:val="00DE2BB0"/>
    <w:rsid w:val="00DE3696"/>
    <w:rsid w:val="00DE3A48"/>
    <w:rsid w:val="00DE3E7C"/>
    <w:rsid w:val="00DE4664"/>
    <w:rsid w:val="00DE5335"/>
    <w:rsid w:val="00DE6CCC"/>
    <w:rsid w:val="00DE6DAE"/>
    <w:rsid w:val="00DE7113"/>
    <w:rsid w:val="00DE72B0"/>
    <w:rsid w:val="00DE7524"/>
    <w:rsid w:val="00DE7DAA"/>
    <w:rsid w:val="00DF02EC"/>
    <w:rsid w:val="00DF098C"/>
    <w:rsid w:val="00DF09CD"/>
    <w:rsid w:val="00DF0AEC"/>
    <w:rsid w:val="00DF1146"/>
    <w:rsid w:val="00DF1184"/>
    <w:rsid w:val="00DF1249"/>
    <w:rsid w:val="00DF18CB"/>
    <w:rsid w:val="00DF19F5"/>
    <w:rsid w:val="00DF24B9"/>
    <w:rsid w:val="00DF2DA0"/>
    <w:rsid w:val="00DF32AF"/>
    <w:rsid w:val="00DF350C"/>
    <w:rsid w:val="00DF3E4D"/>
    <w:rsid w:val="00DF4272"/>
    <w:rsid w:val="00DF42F3"/>
    <w:rsid w:val="00DF46CF"/>
    <w:rsid w:val="00DF498C"/>
    <w:rsid w:val="00DF4D70"/>
    <w:rsid w:val="00DF4F19"/>
    <w:rsid w:val="00DF5270"/>
    <w:rsid w:val="00DF5374"/>
    <w:rsid w:val="00DF5BDD"/>
    <w:rsid w:val="00DF5D97"/>
    <w:rsid w:val="00DF616B"/>
    <w:rsid w:val="00DF621B"/>
    <w:rsid w:val="00DF6B34"/>
    <w:rsid w:val="00DF6B69"/>
    <w:rsid w:val="00DF7061"/>
    <w:rsid w:val="00DF724B"/>
    <w:rsid w:val="00E000FE"/>
    <w:rsid w:val="00E00249"/>
    <w:rsid w:val="00E00C18"/>
    <w:rsid w:val="00E012D8"/>
    <w:rsid w:val="00E0160D"/>
    <w:rsid w:val="00E0175D"/>
    <w:rsid w:val="00E01843"/>
    <w:rsid w:val="00E023B7"/>
    <w:rsid w:val="00E028E6"/>
    <w:rsid w:val="00E0293F"/>
    <w:rsid w:val="00E02DBD"/>
    <w:rsid w:val="00E03941"/>
    <w:rsid w:val="00E03EE7"/>
    <w:rsid w:val="00E04214"/>
    <w:rsid w:val="00E046C1"/>
    <w:rsid w:val="00E049FD"/>
    <w:rsid w:val="00E04B41"/>
    <w:rsid w:val="00E05375"/>
    <w:rsid w:val="00E054B7"/>
    <w:rsid w:val="00E05A22"/>
    <w:rsid w:val="00E05AC5"/>
    <w:rsid w:val="00E0661A"/>
    <w:rsid w:val="00E06AF4"/>
    <w:rsid w:val="00E07DFF"/>
    <w:rsid w:val="00E07E45"/>
    <w:rsid w:val="00E10043"/>
    <w:rsid w:val="00E1039A"/>
    <w:rsid w:val="00E1146A"/>
    <w:rsid w:val="00E1170A"/>
    <w:rsid w:val="00E119CF"/>
    <w:rsid w:val="00E1296E"/>
    <w:rsid w:val="00E1299E"/>
    <w:rsid w:val="00E12B11"/>
    <w:rsid w:val="00E12C4F"/>
    <w:rsid w:val="00E12F3D"/>
    <w:rsid w:val="00E131BE"/>
    <w:rsid w:val="00E136EA"/>
    <w:rsid w:val="00E139D0"/>
    <w:rsid w:val="00E141D8"/>
    <w:rsid w:val="00E145E0"/>
    <w:rsid w:val="00E14911"/>
    <w:rsid w:val="00E14913"/>
    <w:rsid w:val="00E14BC7"/>
    <w:rsid w:val="00E14C59"/>
    <w:rsid w:val="00E150B1"/>
    <w:rsid w:val="00E1546F"/>
    <w:rsid w:val="00E15D70"/>
    <w:rsid w:val="00E16012"/>
    <w:rsid w:val="00E16219"/>
    <w:rsid w:val="00E168A5"/>
    <w:rsid w:val="00E175C2"/>
    <w:rsid w:val="00E175FF"/>
    <w:rsid w:val="00E176E8"/>
    <w:rsid w:val="00E17CFB"/>
    <w:rsid w:val="00E20661"/>
    <w:rsid w:val="00E209E6"/>
    <w:rsid w:val="00E20AD1"/>
    <w:rsid w:val="00E20E3C"/>
    <w:rsid w:val="00E21043"/>
    <w:rsid w:val="00E216A5"/>
    <w:rsid w:val="00E21F98"/>
    <w:rsid w:val="00E222AC"/>
    <w:rsid w:val="00E224C9"/>
    <w:rsid w:val="00E229F7"/>
    <w:rsid w:val="00E22A2D"/>
    <w:rsid w:val="00E22EE3"/>
    <w:rsid w:val="00E23133"/>
    <w:rsid w:val="00E23416"/>
    <w:rsid w:val="00E2391F"/>
    <w:rsid w:val="00E239E6"/>
    <w:rsid w:val="00E23C21"/>
    <w:rsid w:val="00E242E6"/>
    <w:rsid w:val="00E24E3D"/>
    <w:rsid w:val="00E250DB"/>
    <w:rsid w:val="00E2596F"/>
    <w:rsid w:val="00E26108"/>
    <w:rsid w:val="00E263E4"/>
    <w:rsid w:val="00E271F0"/>
    <w:rsid w:val="00E27CCE"/>
    <w:rsid w:val="00E27FE3"/>
    <w:rsid w:val="00E30155"/>
    <w:rsid w:val="00E3069F"/>
    <w:rsid w:val="00E306A2"/>
    <w:rsid w:val="00E306F6"/>
    <w:rsid w:val="00E30967"/>
    <w:rsid w:val="00E3116C"/>
    <w:rsid w:val="00E31521"/>
    <w:rsid w:val="00E316C4"/>
    <w:rsid w:val="00E316FC"/>
    <w:rsid w:val="00E31CDC"/>
    <w:rsid w:val="00E31D4F"/>
    <w:rsid w:val="00E32037"/>
    <w:rsid w:val="00E326A0"/>
    <w:rsid w:val="00E32964"/>
    <w:rsid w:val="00E32E0E"/>
    <w:rsid w:val="00E33222"/>
    <w:rsid w:val="00E33802"/>
    <w:rsid w:val="00E33814"/>
    <w:rsid w:val="00E33A16"/>
    <w:rsid w:val="00E33D97"/>
    <w:rsid w:val="00E33DB8"/>
    <w:rsid w:val="00E342AB"/>
    <w:rsid w:val="00E3464C"/>
    <w:rsid w:val="00E35817"/>
    <w:rsid w:val="00E3582D"/>
    <w:rsid w:val="00E35834"/>
    <w:rsid w:val="00E35A42"/>
    <w:rsid w:val="00E35AC6"/>
    <w:rsid w:val="00E35F47"/>
    <w:rsid w:val="00E36306"/>
    <w:rsid w:val="00E3647C"/>
    <w:rsid w:val="00E367FD"/>
    <w:rsid w:val="00E36C4E"/>
    <w:rsid w:val="00E36DC0"/>
    <w:rsid w:val="00E3733E"/>
    <w:rsid w:val="00E377BF"/>
    <w:rsid w:val="00E379BC"/>
    <w:rsid w:val="00E40DC0"/>
    <w:rsid w:val="00E415E2"/>
    <w:rsid w:val="00E42CC0"/>
    <w:rsid w:val="00E42FB4"/>
    <w:rsid w:val="00E43602"/>
    <w:rsid w:val="00E441CF"/>
    <w:rsid w:val="00E4455B"/>
    <w:rsid w:val="00E446BF"/>
    <w:rsid w:val="00E44A5C"/>
    <w:rsid w:val="00E44ECD"/>
    <w:rsid w:val="00E45136"/>
    <w:rsid w:val="00E452D0"/>
    <w:rsid w:val="00E45A9D"/>
    <w:rsid w:val="00E45B6C"/>
    <w:rsid w:val="00E45DC1"/>
    <w:rsid w:val="00E460A1"/>
    <w:rsid w:val="00E4639C"/>
    <w:rsid w:val="00E4665C"/>
    <w:rsid w:val="00E467AB"/>
    <w:rsid w:val="00E46BCE"/>
    <w:rsid w:val="00E46DA6"/>
    <w:rsid w:val="00E47284"/>
    <w:rsid w:val="00E47BD9"/>
    <w:rsid w:val="00E47FBB"/>
    <w:rsid w:val="00E50544"/>
    <w:rsid w:val="00E506E3"/>
    <w:rsid w:val="00E506E6"/>
    <w:rsid w:val="00E50C13"/>
    <w:rsid w:val="00E5141B"/>
    <w:rsid w:val="00E515A3"/>
    <w:rsid w:val="00E517D0"/>
    <w:rsid w:val="00E52471"/>
    <w:rsid w:val="00E526AF"/>
    <w:rsid w:val="00E52F76"/>
    <w:rsid w:val="00E53341"/>
    <w:rsid w:val="00E53A7A"/>
    <w:rsid w:val="00E53BC4"/>
    <w:rsid w:val="00E5413F"/>
    <w:rsid w:val="00E541D0"/>
    <w:rsid w:val="00E543CA"/>
    <w:rsid w:val="00E54797"/>
    <w:rsid w:val="00E54EC5"/>
    <w:rsid w:val="00E54FFA"/>
    <w:rsid w:val="00E55277"/>
    <w:rsid w:val="00E55335"/>
    <w:rsid w:val="00E55D2A"/>
    <w:rsid w:val="00E56092"/>
    <w:rsid w:val="00E562DF"/>
    <w:rsid w:val="00E56E07"/>
    <w:rsid w:val="00E578A9"/>
    <w:rsid w:val="00E5793C"/>
    <w:rsid w:val="00E57B6D"/>
    <w:rsid w:val="00E57FA4"/>
    <w:rsid w:val="00E60ADA"/>
    <w:rsid w:val="00E61A5E"/>
    <w:rsid w:val="00E61B05"/>
    <w:rsid w:val="00E61C29"/>
    <w:rsid w:val="00E624D8"/>
    <w:rsid w:val="00E631B9"/>
    <w:rsid w:val="00E631FA"/>
    <w:rsid w:val="00E6341C"/>
    <w:rsid w:val="00E63DB3"/>
    <w:rsid w:val="00E63F2E"/>
    <w:rsid w:val="00E645DC"/>
    <w:rsid w:val="00E64C0F"/>
    <w:rsid w:val="00E64D53"/>
    <w:rsid w:val="00E6523D"/>
    <w:rsid w:val="00E65967"/>
    <w:rsid w:val="00E65978"/>
    <w:rsid w:val="00E65EF0"/>
    <w:rsid w:val="00E66197"/>
    <w:rsid w:val="00E668A1"/>
    <w:rsid w:val="00E668E2"/>
    <w:rsid w:val="00E66C5D"/>
    <w:rsid w:val="00E670BF"/>
    <w:rsid w:val="00E67482"/>
    <w:rsid w:val="00E6767F"/>
    <w:rsid w:val="00E6791E"/>
    <w:rsid w:val="00E67B01"/>
    <w:rsid w:val="00E67F22"/>
    <w:rsid w:val="00E700FA"/>
    <w:rsid w:val="00E70485"/>
    <w:rsid w:val="00E705E5"/>
    <w:rsid w:val="00E70B0C"/>
    <w:rsid w:val="00E70BEA"/>
    <w:rsid w:val="00E70D08"/>
    <w:rsid w:val="00E70FF5"/>
    <w:rsid w:val="00E713AC"/>
    <w:rsid w:val="00E7160A"/>
    <w:rsid w:val="00E71698"/>
    <w:rsid w:val="00E71EFF"/>
    <w:rsid w:val="00E72246"/>
    <w:rsid w:val="00E722AC"/>
    <w:rsid w:val="00E723D3"/>
    <w:rsid w:val="00E723DD"/>
    <w:rsid w:val="00E725B6"/>
    <w:rsid w:val="00E72992"/>
    <w:rsid w:val="00E730C9"/>
    <w:rsid w:val="00E734AF"/>
    <w:rsid w:val="00E73603"/>
    <w:rsid w:val="00E73B32"/>
    <w:rsid w:val="00E73E01"/>
    <w:rsid w:val="00E745BF"/>
    <w:rsid w:val="00E74697"/>
    <w:rsid w:val="00E74F1D"/>
    <w:rsid w:val="00E75152"/>
    <w:rsid w:val="00E7545A"/>
    <w:rsid w:val="00E758C0"/>
    <w:rsid w:val="00E75CE2"/>
    <w:rsid w:val="00E76381"/>
    <w:rsid w:val="00E763A8"/>
    <w:rsid w:val="00E765F5"/>
    <w:rsid w:val="00E803AE"/>
    <w:rsid w:val="00E80ACF"/>
    <w:rsid w:val="00E80BFB"/>
    <w:rsid w:val="00E81655"/>
    <w:rsid w:val="00E81A0A"/>
    <w:rsid w:val="00E81A99"/>
    <w:rsid w:val="00E82560"/>
    <w:rsid w:val="00E825E3"/>
    <w:rsid w:val="00E828B0"/>
    <w:rsid w:val="00E82FC6"/>
    <w:rsid w:val="00E83280"/>
    <w:rsid w:val="00E832C9"/>
    <w:rsid w:val="00E833B2"/>
    <w:rsid w:val="00E8348E"/>
    <w:rsid w:val="00E83C3A"/>
    <w:rsid w:val="00E83D39"/>
    <w:rsid w:val="00E83E6E"/>
    <w:rsid w:val="00E83EA9"/>
    <w:rsid w:val="00E84279"/>
    <w:rsid w:val="00E84D68"/>
    <w:rsid w:val="00E85483"/>
    <w:rsid w:val="00E85515"/>
    <w:rsid w:val="00E8554D"/>
    <w:rsid w:val="00E85CF0"/>
    <w:rsid w:val="00E85D85"/>
    <w:rsid w:val="00E85FB9"/>
    <w:rsid w:val="00E86072"/>
    <w:rsid w:val="00E8607C"/>
    <w:rsid w:val="00E86752"/>
    <w:rsid w:val="00E86B64"/>
    <w:rsid w:val="00E86D0D"/>
    <w:rsid w:val="00E86E7D"/>
    <w:rsid w:val="00E873F1"/>
    <w:rsid w:val="00E8773B"/>
    <w:rsid w:val="00E879F5"/>
    <w:rsid w:val="00E87AE6"/>
    <w:rsid w:val="00E87CB7"/>
    <w:rsid w:val="00E87F8B"/>
    <w:rsid w:val="00E90039"/>
    <w:rsid w:val="00E904A1"/>
    <w:rsid w:val="00E90FE7"/>
    <w:rsid w:val="00E912FF"/>
    <w:rsid w:val="00E91551"/>
    <w:rsid w:val="00E91BF2"/>
    <w:rsid w:val="00E91E5F"/>
    <w:rsid w:val="00E91E63"/>
    <w:rsid w:val="00E920BF"/>
    <w:rsid w:val="00E92BD8"/>
    <w:rsid w:val="00E92F0A"/>
    <w:rsid w:val="00E93A7A"/>
    <w:rsid w:val="00E93B3D"/>
    <w:rsid w:val="00E93F46"/>
    <w:rsid w:val="00E941AE"/>
    <w:rsid w:val="00E94307"/>
    <w:rsid w:val="00E943EB"/>
    <w:rsid w:val="00E9467E"/>
    <w:rsid w:val="00E94762"/>
    <w:rsid w:val="00E94C76"/>
    <w:rsid w:val="00E9572A"/>
    <w:rsid w:val="00E958C1"/>
    <w:rsid w:val="00E95E0E"/>
    <w:rsid w:val="00E960CF"/>
    <w:rsid w:val="00E960E2"/>
    <w:rsid w:val="00E9627E"/>
    <w:rsid w:val="00E96454"/>
    <w:rsid w:val="00E964A2"/>
    <w:rsid w:val="00E965F5"/>
    <w:rsid w:val="00E96C2A"/>
    <w:rsid w:val="00E96FBC"/>
    <w:rsid w:val="00E971EC"/>
    <w:rsid w:val="00E9738B"/>
    <w:rsid w:val="00E97732"/>
    <w:rsid w:val="00E97A1F"/>
    <w:rsid w:val="00EA0214"/>
    <w:rsid w:val="00EA0281"/>
    <w:rsid w:val="00EA0BD3"/>
    <w:rsid w:val="00EA0BFA"/>
    <w:rsid w:val="00EA0CA7"/>
    <w:rsid w:val="00EA0E05"/>
    <w:rsid w:val="00EA0EFC"/>
    <w:rsid w:val="00EA12D3"/>
    <w:rsid w:val="00EA1320"/>
    <w:rsid w:val="00EA1488"/>
    <w:rsid w:val="00EA16CC"/>
    <w:rsid w:val="00EA1FE4"/>
    <w:rsid w:val="00EA20F1"/>
    <w:rsid w:val="00EA2730"/>
    <w:rsid w:val="00EA2778"/>
    <w:rsid w:val="00EA2A4D"/>
    <w:rsid w:val="00EA2B0F"/>
    <w:rsid w:val="00EA2EFE"/>
    <w:rsid w:val="00EA3138"/>
    <w:rsid w:val="00EA333C"/>
    <w:rsid w:val="00EA42BA"/>
    <w:rsid w:val="00EA4F96"/>
    <w:rsid w:val="00EA4FAE"/>
    <w:rsid w:val="00EA51EB"/>
    <w:rsid w:val="00EA5263"/>
    <w:rsid w:val="00EA531A"/>
    <w:rsid w:val="00EA589B"/>
    <w:rsid w:val="00EA5BAF"/>
    <w:rsid w:val="00EA6CB8"/>
    <w:rsid w:val="00EA6EF7"/>
    <w:rsid w:val="00EA7499"/>
    <w:rsid w:val="00EA74E3"/>
    <w:rsid w:val="00EA7744"/>
    <w:rsid w:val="00EB0FB1"/>
    <w:rsid w:val="00EB1119"/>
    <w:rsid w:val="00EB178A"/>
    <w:rsid w:val="00EB20A4"/>
    <w:rsid w:val="00EB2298"/>
    <w:rsid w:val="00EB2317"/>
    <w:rsid w:val="00EB2435"/>
    <w:rsid w:val="00EB3027"/>
    <w:rsid w:val="00EB306C"/>
    <w:rsid w:val="00EB313A"/>
    <w:rsid w:val="00EB3495"/>
    <w:rsid w:val="00EB3B70"/>
    <w:rsid w:val="00EB534C"/>
    <w:rsid w:val="00EB55CC"/>
    <w:rsid w:val="00EB59C3"/>
    <w:rsid w:val="00EB5E7D"/>
    <w:rsid w:val="00EB688D"/>
    <w:rsid w:val="00EB7124"/>
    <w:rsid w:val="00EB714D"/>
    <w:rsid w:val="00EB74DD"/>
    <w:rsid w:val="00EB7E4D"/>
    <w:rsid w:val="00EC0B57"/>
    <w:rsid w:val="00EC0F11"/>
    <w:rsid w:val="00EC12C0"/>
    <w:rsid w:val="00EC142C"/>
    <w:rsid w:val="00EC16D0"/>
    <w:rsid w:val="00EC1CAE"/>
    <w:rsid w:val="00EC241F"/>
    <w:rsid w:val="00EC2B11"/>
    <w:rsid w:val="00EC2FEB"/>
    <w:rsid w:val="00EC30C9"/>
    <w:rsid w:val="00EC32DA"/>
    <w:rsid w:val="00EC36C9"/>
    <w:rsid w:val="00EC36DD"/>
    <w:rsid w:val="00EC39A2"/>
    <w:rsid w:val="00EC3BC3"/>
    <w:rsid w:val="00EC4B61"/>
    <w:rsid w:val="00EC4DCF"/>
    <w:rsid w:val="00EC555C"/>
    <w:rsid w:val="00EC56AA"/>
    <w:rsid w:val="00EC5D3A"/>
    <w:rsid w:val="00EC60C0"/>
    <w:rsid w:val="00EC6337"/>
    <w:rsid w:val="00EC6BDB"/>
    <w:rsid w:val="00EC7326"/>
    <w:rsid w:val="00EC7883"/>
    <w:rsid w:val="00ED0764"/>
    <w:rsid w:val="00ED092E"/>
    <w:rsid w:val="00ED0DE8"/>
    <w:rsid w:val="00ED0F41"/>
    <w:rsid w:val="00ED0FAF"/>
    <w:rsid w:val="00ED0FB6"/>
    <w:rsid w:val="00ED0FC6"/>
    <w:rsid w:val="00ED16CF"/>
    <w:rsid w:val="00ED19F8"/>
    <w:rsid w:val="00ED1B98"/>
    <w:rsid w:val="00ED3068"/>
    <w:rsid w:val="00ED3534"/>
    <w:rsid w:val="00ED37C6"/>
    <w:rsid w:val="00ED3B7D"/>
    <w:rsid w:val="00ED4319"/>
    <w:rsid w:val="00ED43A0"/>
    <w:rsid w:val="00ED51F2"/>
    <w:rsid w:val="00ED552F"/>
    <w:rsid w:val="00ED573A"/>
    <w:rsid w:val="00ED5787"/>
    <w:rsid w:val="00ED6435"/>
    <w:rsid w:val="00ED6822"/>
    <w:rsid w:val="00ED6CAC"/>
    <w:rsid w:val="00ED721A"/>
    <w:rsid w:val="00ED73A4"/>
    <w:rsid w:val="00EE0A49"/>
    <w:rsid w:val="00EE0B02"/>
    <w:rsid w:val="00EE0C8D"/>
    <w:rsid w:val="00EE1061"/>
    <w:rsid w:val="00EE11B1"/>
    <w:rsid w:val="00EE1480"/>
    <w:rsid w:val="00EE14FE"/>
    <w:rsid w:val="00EE15CA"/>
    <w:rsid w:val="00EE18BB"/>
    <w:rsid w:val="00EE1C9F"/>
    <w:rsid w:val="00EE1CDA"/>
    <w:rsid w:val="00EE1FF8"/>
    <w:rsid w:val="00EE211B"/>
    <w:rsid w:val="00EE24B7"/>
    <w:rsid w:val="00EE2759"/>
    <w:rsid w:val="00EE2AAB"/>
    <w:rsid w:val="00EE3354"/>
    <w:rsid w:val="00EE3A54"/>
    <w:rsid w:val="00EE3B6E"/>
    <w:rsid w:val="00EE459C"/>
    <w:rsid w:val="00EE4639"/>
    <w:rsid w:val="00EE4D3C"/>
    <w:rsid w:val="00EE62B4"/>
    <w:rsid w:val="00EE65B6"/>
    <w:rsid w:val="00EE726E"/>
    <w:rsid w:val="00EE7849"/>
    <w:rsid w:val="00EF0E50"/>
    <w:rsid w:val="00EF1D7D"/>
    <w:rsid w:val="00EF1FE3"/>
    <w:rsid w:val="00EF20FD"/>
    <w:rsid w:val="00EF220D"/>
    <w:rsid w:val="00EF2337"/>
    <w:rsid w:val="00EF2439"/>
    <w:rsid w:val="00EF2EF0"/>
    <w:rsid w:val="00EF3166"/>
    <w:rsid w:val="00EF383B"/>
    <w:rsid w:val="00EF3A4A"/>
    <w:rsid w:val="00EF3B82"/>
    <w:rsid w:val="00EF3D43"/>
    <w:rsid w:val="00EF4378"/>
    <w:rsid w:val="00EF4398"/>
    <w:rsid w:val="00EF493B"/>
    <w:rsid w:val="00EF4F32"/>
    <w:rsid w:val="00EF5F9B"/>
    <w:rsid w:val="00EF6848"/>
    <w:rsid w:val="00EF6B18"/>
    <w:rsid w:val="00EF754B"/>
    <w:rsid w:val="00EF7CE1"/>
    <w:rsid w:val="00F000F0"/>
    <w:rsid w:val="00F00122"/>
    <w:rsid w:val="00F003D8"/>
    <w:rsid w:val="00F00481"/>
    <w:rsid w:val="00F00923"/>
    <w:rsid w:val="00F009F4"/>
    <w:rsid w:val="00F00C9D"/>
    <w:rsid w:val="00F01090"/>
    <w:rsid w:val="00F01A06"/>
    <w:rsid w:val="00F01A58"/>
    <w:rsid w:val="00F01F28"/>
    <w:rsid w:val="00F0235F"/>
    <w:rsid w:val="00F023A1"/>
    <w:rsid w:val="00F02CDA"/>
    <w:rsid w:val="00F0301D"/>
    <w:rsid w:val="00F03891"/>
    <w:rsid w:val="00F04527"/>
    <w:rsid w:val="00F046B1"/>
    <w:rsid w:val="00F04932"/>
    <w:rsid w:val="00F04CF6"/>
    <w:rsid w:val="00F04ED5"/>
    <w:rsid w:val="00F0582B"/>
    <w:rsid w:val="00F05BA0"/>
    <w:rsid w:val="00F05EED"/>
    <w:rsid w:val="00F062B0"/>
    <w:rsid w:val="00F066A4"/>
    <w:rsid w:val="00F06F02"/>
    <w:rsid w:val="00F06FAE"/>
    <w:rsid w:val="00F077C0"/>
    <w:rsid w:val="00F0783A"/>
    <w:rsid w:val="00F07C4E"/>
    <w:rsid w:val="00F07EC4"/>
    <w:rsid w:val="00F07FBC"/>
    <w:rsid w:val="00F10073"/>
    <w:rsid w:val="00F11887"/>
    <w:rsid w:val="00F11936"/>
    <w:rsid w:val="00F11B50"/>
    <w:rsid w:val="00F11C49"/>
    <w:rsid w:val="00F133E1"/>
    <w:rsid w:val="00F133EC"/>
    <w:rsid w:val="00F137D7"/>
    <w:rsid w:val="00F1389A"/>
    <w:rsid w:val="00F13954"/>
    <w:rsid w:val="00F13DBD"/>
    <w:rsid w:val="00F14002"/>
    <w:rsid w:val="00F14351"/>
    <w:rsid w:val="00F146EB"/>
    <w:rsid w:val="00F14EA6"/>
    <w:rsid w:val="00F154C5"/>
    <w:rsid w:val="00F15737"/>
    <w:rsid w:val="00F15744"/>
    <w:rsid w:val="00F15A4F"/>
    <w:rsid w:val="00F15A8C"/>
    <w:rsid w:val="00F15C8C"/>
    <w:rsid w:val="00F1601B"/>
    <w:rsid w:val="00F1628E"/>
    <w:rsid w:val="00F163DF"/>
    <w:rsid w:val="00F165FE"/>
    <w:rsid w:val="00F16BB1"/>
    <w:rsid w:val="00F16F8E"/>
    <w:rsid w:val="00F20046"/>
    <w:rsid w:val="00F206FE"/>
    <w:rsid w:val="00F20916"/>
    <w:rsid w:val="00F209E0"/>
    <w:rsid w:val="00F20DEA"/>
    <w:rsid w:val="00F20EE3"/>
    <w:rsid w:val="00F21048"/>
    <w:rsid w:val="00F2112D"/>
    <w:rsid w:val="00F213E7"/>
    <w:rsid w:val="00F21654"/>
    <w:rsid w:val="00F218EF"/>
    <w:rsid w:val="00F21B1C"/>
    <w:rsid w:val="00F21B93"/>
    <w:rsid w:val="00F21EC3"/>
    <w:rsid w:val="00F23178"/>
    <w:rsid w:val="00F2357F"/>
    <w:rsid w:val="00F23D87"/>
    <w:rsid w:val="00F240D7"/>
    <w:rsid w:val="00F24A57"/>
    <w:rsid w:val="00F24F4D"/>
    <w:rsid w:val="00F25139"/>
    <w:rsid w:val="00F25166"/>
    <w:rsid w:val="00F254EA"/>
    <w:rsid w:val="00F2569B"/>
    <w:rsid w:val="00F25A7C"/>
    <w:rsid w:val="00F2617C"/>
    <w:rsid w:val="00F262A1"/>
    <w:rsid w:val="00F2643A"/>
    <w:rsid w:val="00F2647D"/>
    <w:rsid w:val="00F2657D"/>
    <w:rsid w:val="00F2699C"/>
    <w:rsid w:val="00F269CD"/>
    <w:rsid w:val="00F26CC5"/>
    <w:rsid w:val="00F26CE7"/>
    <w:rsid w:val="00F26FA1"/>
    <w:rsid w:val="00F27142"/>
    <w:rsid w:val="00F276A3"/>
    <w:rsid w:val="00F276A4"/>
    <w:rsid w:val="00F277A8"/>
    <w:rsid w:val="00F2795E"/>
    <w:rsid w:val="00F27C52"/>
    <w:rsid w:val="00F3002F"/>
    <w:rsid w:val="00F301EB"/>
    <w:rsid w:val="00F30479"/>
    <w:rsid w:val="00F304B5"/>
    <w:rsid w:val="00F30584"/>
    <w:rsid w:val="00F30722"/>
    <w:rsid w:val="00F30867"/>
    <w:rsid w:val="00F30894"/>
    <w:rsid w:val="00F3094E"/>
    <w:rsid w:val="00F309D0"/>
    <w:rsid w:val="00F31234"/>
    <w:rsid w:val="00F3142A"/>
    <w:rsid w:val="00F31BB0"/>
    <w:rsid w:val="00F3250F"/>
    <w:rsid w:val="00F328BD"/>
    <w:rsid w:val="00F332AD"/>
    <w:rsid w:val="00F33655"/>
    <w:rsid w:val="00F337D6"/>
    <w:rsid w:val="00F3383E"/>
    <w:rsid w:val="00F338BC"/>
    <w:rsid w:val="00F33D40"/>
    <w:rsid w:val="00F3445C"/>
    <w:rsid w:val="00F346BC"/>
    <w:rsid w:val="00F3471B"/>
    <w:rsid w:val="00F3521B"/>
    <w:rsid w:val="00F35561"/>
    <w:rsid w:val="00F35865"/>
    <w:rsid w:val="00F365DF"/>
    <w:rsid w:val="00F36DC1"/>
    <w:rsid w:val="00F37132"/>
    <w:rsid w:val="00F37702"/>
    <w:rsid w:val="00F37922"/>
    <w:rsid w:val="00F40036"/>
    <w:rsid w:val="00F41002"/>
    <w:rsid w:val="00F41605"/>
    <w:rsid w:val="00F41F9B"/>
    <w:rsid w:val="00F42049"/>
    <w:rsid w:val="00F4240E"/>
    <w:rsid w:val="00F428B9"/>
    <w:rsid w:val="00F42C2B"/>
    <w:rsid w:val="00F431B1"/>
    <w:rsid w:val="00F4355A"/>
    <w:rsid w:val="00F43A75"/>
    <w:rsid w:val="00F43F18"/>
    <w:rsid w:val="00F4406A"/>
    <w:rsid w:val="00F440A8"/>
    <w:rsid w:val="00F44100"/>
    <w:rsid w:val="00F44833"/>
    <w:rsid w:val="00F45003"/>
    <w:rsid w:val="00F45692"/>
    <w:rsid w:val="00F45BAE"/>
    <w:rsid w:val="00F46183"/>
    <w:rsid w:val="00F463BD"/>
    <w:rsid w:val="00F46450"/>
    <w:rsid w:val="00F46A01"/>
    <w:rsid w:val="00F475AF"/>
    <w:rsid w:val="00F475B2"/>
    <w:rsid w:val="00F47AFE"/>
    <w:rsid w:val="00F47B95"/>
    <w:rsid w:val="00F47DF9"/>
    <w:rsid w:val="00F50020"/>
    <w:rsid w:val="00F50849"/>
    <w:rsid w:val="00F50D3D"/>
    <w:rsid w:val="00F50D90"/>
    <w:rsid w:val="00F50ECE"/>
    <w:rsid w:val="00F50F51"/>
    <w:rsid w:val="00F51318"/>
    <w:rsid w:val="00F513FB"/>
    <w:rsid w:val="00F51929"/>
    <w:rsid w:val="00F51C58"/>
    <w:rsid w:val="00F523A6"/>
    <w:rsid w:val="00F52631"/>
    <w:rsid w:val="00F529F8"/>
    <w:rsid w:val="00F52A4B"/>
    <w:rsid w:val="00F53093"/>
    <w:rsid w:val="00F53186"/>
    <w:rsid w:val="00F532D9"/>
    <w:rsid w:val="00F533DB"/>
    <w:rsid w:val="00F5376A"/>
    <w:rsid w:val="00F53E2D"/>
    <w:rsid w:val="00F542D8"/>
    <w:rsid w:val="00F54494"/>
    <w:rsid w:val="00F548C8"/>
    <w:rsid w:val="00F54986"/>
    <w:rsid w:val="00F555FF"/>
    <w:rsid w:val="00F55A3B"/>
    <w:rsid w:val="00F561BA"/>
    <w:rsid w:val="00F563B2"/>
    <w:rsid w:val="00F56606"/>
    <w:rsid w:val="00F56848"/>
    <w:rsid w:val="00F569F3"/>
    <w:rsid w:val="00F56FA3"/>
    <w:rsid w:val="00F5765A"/>
    <w:rsid w:val="00F578B0"/>
    <w:rsid w:val="00F57A26"/>
    <w:rsid w:val="00F57A55"/>
    <w:rsid w:val="00F57C72"/>
    <w:rsid w:val="00F60802"/>
    <w:rsid w:val="00F609AE"/>
    <w:rsid w:val="00F60BCF"/>
    <w:rsid w:val="00F6125B"/>
    <w:rsid w:val="00F61564"/>
    <w:rsid w:val="00F61614"/>
    <w:rsid w:val="00F61655"/>
    <w:rsid w:val="00F6190D"/>
    <w:rsid w:val="00F61D1B"/>
    <w:rsid w:val="00F61FDE"/>
    <w:rsid w:val="00F6283B"/>
    <w:rsid w:val="00F62BB8"/>
    <w:rsid w:val="00F62F3E"/>
    <w:rsid w:val="00F63DE6"/>
    <w:rsid w:val="00F64459"/>
    <w:rsid w:val="00F64966"/>
    <w:rsid w:val="00F661A3"/>
    <w:rsid w:val="00F66544"/>
    <w:rsid w:val="00F669E3"/>
    <w:rsid w:val="00F66A70"/>
    <w:rsid w:val="00F670C3"/>
    <w:rsid w:val="00F67219"/>
    <w:rsid w:val="00F675AE"/>
    <w:rsid w:val="00F67BF9"/>
    <w:rsid w:val="00F70225"/>
    <w:rsid w:val="00F703C3"/>
    <w:rsid w:val="00F703EE"/>
    <w:rsid w:val="00F70787"/>
    <w:rsid w:val="00F71480"/>
    <w:rsid w:val="00F71985"/>
    <w:rsid w:val="00F71F79"/>
    <w:rsid w:val="00F721A1"/>
    <w:rsid w:val="00F72236"/>
    <w:rsid w:val="00F724E3"/>
    <w:rsid w:val="00F7251B"/>
    <w:rsid w:val="00F72654"/>
    <w:rsid w:val="00F72E2E"/>
    <w:rsid w:val="00F73B32"/>
    <w:rsid w:val="00F73D28"/>
    <w:rsid w:val="00F73EED"/>
    <w:rsid w:val="00F74491"/>
    <w:rsid w:val="00F74A7A"/>
    <w:rsid w:val="00F75313"/>
    <w:rsid w:val="00F7534B"/>
    <w:rsid w:val="00F75AE8"/>
    <w:rsid w:val="00F75B83"/>
    <w:rsid w:val="00F75BF8"/>
    <w:rsid w:val="00F761C7"/>
    <w:rsid w:val="00F7625A"/>
    <w:rsid w:val="00F76408"/>
    <w:rsid w:val="00F76563"/>
    <w:rsid w:val="00F7660B"/>
    <w:rsid w:val="00F76BE5"/>
    <w:rsid w:val="00F77029"/>
    <w:rsid w:val="00F779B0"/>
    <w:rsid w:val="00F77CFA"/>
    <w:rsid w:val="00F77EAE"/>
    <w:rsid w:val="00F80AF3"/>
    <w:rsid w:val="00F80D8F"/>
    <w:rsid w:val="00F80DCB"/>
    <w:rsid w:val="00F80E30"/>
    <w:rsid w:val="00F81DE2"/>
    <w:rsid w:val="00F81E4A"/>
    <w:rsid w:val="00F81F25"/>
    <w:rsid w:val="00F82290"/>
    <w:rsid w:val="00F82A4B"/>
    <w:rsid w:val="00F837DD"/>
    <w:rsid w:val="00F83BED"/>
    <w:rsid w:val="00F83CC5"/>
    <w:rsid w:val="00F843E3"/>
    <w:rsid w:val="00F849D0"/>
    <w:rsid w:val="00F849D7"/>
    <w:rsid w:val="00F84A2F"/>
    <w:rsid w:val="00F84A9B"/>
    <w:rsid w:val="00F84B23"/>
    <w:rsid w:val="00F850EB"/>
    <w:rsid w:val="00F85118"/>
    <w:rsid w:val="00F85744"/>
    <w:rsid w:val="00F85A95"/>
    <w:rsid w:val="00F86193"/>
    <w:rsid w:val="00F86250"/>
    <w:rsid w:val="00F8636E"/>
    <w:rsid w:val="00F8644E"/>
    <w:rsid w:val="00F864B3"/>
    <w:rsid w:val="00F86788"/>
    <w:rsid w:val="00F869AA"/>
    <w:rsid w:val="00F86C4D"/>
    <w:rsid w:val="00F87484"/>
    <w:rsid w:val="00F876DD"/>
    <w:rsid w:val="00F87B1F"/>
    <w:rsid w:val="00F87E66"/>
    <w:rsid w:val="00F87EA4"/>
    <w:rsid w:val="00F901AE"/>
    <w:rsid w:val="00F9025B"/>
    <w:rsid w:val="00F90391"/>
    <w:rsid w:val="00F9046C"/>
    <w:rsid w:val="00F9094B"/>
    <w:rsid w:val="00F90C86"/>
    <w:rsid w:val="00F90E2A"/>
    <w:rsid w:val="00F90EB8"/>
    <w:rsid w:val="00F91366"/>
    <w:rsid w:val="00F91454"/>
    <w:rsid w:val="00F915AB"/>
    <w:rsid w:val="00F918AE"/>
    <w:rsid w:val="00F918C8"/>
    <w:rsid w:val="00F91DAC"/>
    <w:rsid w:val="00F92174"/>
    <w:rsid w:val="00F9295C"/>
    <w:rsid w:val="00F92987"/>
    <w:rsid w:val="00F939F8"/>
    <w:rsid w:val="00F93A5C"/>
    <w:rsid w:val="00F94683"/>
    <w:rsid w:val="00F9495D"/>
    <w:rsid w:val="00F94C7E"/>
    <w:rsid w:val="00F95013"/>
    <w:rsid w:val="00F951E3"/>
    <w:rsid w:val="00F9529E"/>
    <w:rsid w:val="00F95347"/>
    <w:rsid w:val="00F95663"/>
    <w:rsid w:val="00F9597B"/>
    <w:rsid w:val="00F95D4F"/>
    <w:rsid w:val="00F9632D"/>
    <w:rsid w:val="00F9650D"/>
    <w:rsid w:val="00F967D4"/>
    <w:rsid w:val="00F973DF"/>
    <w:rsid w:val="00F97645"/>
    <w:rsid w:val="00F976DD"/>
    <w:rsid w:val="00F9794E"/>
    <w:rsid w:val="00F97B15"/>
    <w:rsid w:val="00FA0227"/>
    <w:rsid w:val="00FA046E"/>
    <w:rsid w:val="00FA0509"/>
    <w:rsid w:val="00FA0540"/>
    <w:rsid w:val="00FA05E4"/>
    <w:rsid w:val="00FA06B7"/>
    <w:rsid w:val="00FA0E7C"/>
    <w:rsid w:val="00FA1D8F"/>
    <w:rsid w:val="00FA1E61"/>
    <w:rsid w:val="00FA2549"/>
    <w:rsid w:val="00FA2FA0"/>
    <w:rsid w:val="00FA35AF"/>
    <w:rsid w:val="00FA3760"/>
    <w:rsid w:val="00FA3D51"/>
    <w:rsid w:val="00FA4161"/>
    <w:rsid w:val="00FA43A8"/>
    <w:rsid w:val="00FA4B74"/>
    <w:rsid w:val="00FA53C1"/>
    <w:rsid w:val="00FA5631"/>
    <w:rsid w:val="00FA5871"/>
    <w:rsid w:val="00FA6225"/>
    <w:rsid w:val="00FA665E"/>
    <w:rsid w:val="00FA6686"/>
    <w:rsid w:val="00FA6BCC"/>
    <w:rsid w:val="00FA7040"/>
    <w:rsid w:val="00FA79A3"/>
    <w:rsid w:val="00FA7AA6"/>
    <w:rsid w:val="00FA7B16"/>
    <w:rsid w:val="00FA7C04"/>
    <w:rsid w:val="00FB035D"/>
    <w:rsid w:val="00FB0443"/>
    <w:rsid w:val="00FB16B3"/>
    <w:rsid w:val="00FB18E8"/>
    <w:rsid w:val="00FB1C55"/>
    <w:rsid w:val="00FB1CBB"/>
    <w:rsid w:val="00FB2135"/>
    <w:rsid w:val="00FB22E5"/>
    <w:rsid w:val="00FB2312"/>
    <w:rsid w:val="00FB27DF"/>
    <w:rsid w:val="00FB2E86"/>
    <w:rsid w:val="00FB2F94"/>
    <w:rsid w:val="00FB357E"/>
    <w:rsid w:val="00FB35B8"/>
    <w:rsid w:val="00FB3CD6"/>
    <w:rsid w:val="00FB3DA1"/>
    <w:rsid w:val="00FB4393"/>
    <w:rsid w:val="00FB43D4"/>
    <w:rsid w:val="00FB46A4"/>
    <w:rsid w:val="00FB52FD"/>
    <w:rsid w:val="00FB5516"/>
    <w:rsid w:val="00FB5689"/>
    <w:rsid w:val="00FB5849"/>
    <w:rsid w:val="00FB5FD9"/>
    <w:rsid w:val="00FB665E"/>
    <w:rsid w:val="00FB6776"/>
    <w:rsid w:val="00FB6D13"/>
    <w:rsid w:val="00FB7340"/>
    <w:rsid w:val="00FB736F"/>
    <w:rsid w:val="00FB7724"/>
    <w:rsid w:val="00FB7B15"/>
    <w:rsid w:val="00FB7B30"/>
    <w:rsid w:val="00FB7B5D"/>
    <w:rsid w:val="00FB7F79"/>
    <w:rsid w:val="00FC0494"/>
    <w:rsid w:val="00FC0D40"/>
    <w:rsid w:val="00FC1530"/>
    <w:rsid w:val="00FC1859"/>
    <w:rsid w:val="00FC1ED7"/>
    <w:rsid w:val="00FC2100"/>
    <w:rsid w:val="00FC2576"/>
    <w:rsid w:val="00FC2742"/>
    <w:rsid w:val="00FC2C39"/>
    <w:rsid w:val="00FC2D17"/>
    <w:rsid w:val="00FC35B0"/>
    <w:rsid w:val="00FC3730"/>
    <w:rsid w:val="00FC3BBC"/>
    <w:rsid w:val="00FC3EEB"/>
    <w:rsid w:val="00FC4924"/>
    <w:rsid w:val="00FC4A6E"/>
    <w:rsid w:val="00FC4D5C"/>
    <w:rsid w:val="00FC4D6A"/>
    <w:rsid w:val="00FC4F36"/>
    <w:rsid w:val="00FC553E"/>
    <w:rsid w:val="00FC5F8C"/>
    <w:rsid w:val="00FC65A0"/>
    <w:rsid w:val="00FC7373"/>
    <w:rsid w:val="00FC7AF6"/>
    <w:rsid w:val="00FC7BC8"/>
    <w:rsid w:val="00FC7D99"/>
    <w:rsid w:val="00FD0386"/>
    <w:rsid w:val="00FD04EB"/>
    <w:rsid w:val="00FD0ABC"/>
    <w:rsid w:val="00FD0D58"/>
    <w:rsid w:val="00FD101E"/>
    <w:rsid w:val="00FD10D2"/>
    <w:rsid w:val="00FD17C4"/>
    <w:rsid w:val="00FD1DCB"/>
    <w:rsid w:val="00FD1FB7"/>
    <w:rsid w:val="00FD21E4"/>
    <w:rsid w:val="00FD22B6"/>
    <w:rsid w:val="00FD2475"/>
    <w:rsid w:val="00FD2751"/>
    <w:rsid w:val="00FD282A"/>
    <w:rsid w:val="00FD2A71"/>
    <w:rsid w:val="00FD3822"/>
    <w:rsid w:val="00FD45CD"/>
    <w:rsid w:val="00FD4CC0"/>
    <w:rsid w:val="00FD5002"/>
    <w:rsid w:val="00FD50DE"/>
    <w:rsid w:val="00FD5927"/>
    <w:rsid w:val="00FD5AFC"/>
    <w:rsid w:val="00FD618D"/>
    <w:rsid w:val="00FD6A3D"/>
    <w:rsid w:val="00FD6BB9"/>
    <w:rsid w:val="00FD6F42"/>
    <w:rsid w:val="00FD72B4"/>
    <w:rsid w:val="00FD730B"/>
    <w:rsid w:val="00FD7313"/>
    <w:rsid w:val="00FD7635"/>
    <w:rsid w:val="00FE098B"/>
    <w:rsid w:val="00FE0A4B"/>
    <w:rsid w:val="00FE0C6B"/>
    <w:rsid w:val="00FE15ED"/>
    <w:rsid w:val="00FE1C12"/>
    <w:rsid w:val="00FE22FE"/>
    <w:rsid w:val="00FE23E2"/>
    <w:rsid w:val="00FE24EC"/>
    <w:rsid w:val="00FE2BBE"/>
    <w:rsid w:val="00FE2DF8"/>
    <w:rsid w:val="00FE3A65"/>
    <w:rsid w:val="00FE3D19"/>
    <w:rsid w:val="00FE3DA5"/>
    <w:rsid w:val="00FE460F"/>
    <w:rsid w:val="00FE4930"/>
    <w:rsid w:val="00FE4E61"/>
    <w:rsid w:val="00FE4EED"/>
    <w:rsid w:val="00FE4F95"/>
    <w:rsid w:val="00FE550B"/>
    <w:rsid w:val="00FE5B8D"/>
    <w:rsid w:val="00FE6782"/>
    <w:rsid w:val="00FE6DD3"/>
    <w:rsid w:val="00FE6FE5"/>
    <w:rsid w:val="00FE74FC"/>
    <w:rsid w:val="00FE761D"/>
    <w:rsid w:val="00FE76FA"/>
    <w:rsid w:val="00FE7A0A"/>
    <w:rsid w:val="00FE7A4E"/>
    <w:rsid w:val="00FE7B7C"/>
    <w:rsid w:val="00FF01C5"/>
    <w:rsid w:val="00FF0597"/>
    <w:rsid w:val="00FF07F7"/>
    <w:rsid w:val="00FF13DF"/>
    <w:rsid w:val="00FF1716"/>
    <w:rsid w:val="00FF1E8B"/>
    <w:rsid w:val="00FF2984"/>
    <w:rsid w:val="00FF2A88"/>
    <w:rsid w:val="00FF30FE"/>
    <w:rsid w:val="00FF38E3"/>
    <w:rsid w:val="00FF3B85"/>
    <w:rsid w:val="00FF3D78"/>
    <w:rsid w:val="00FF4686"/>
    <w:rsid w:val="00FF4FC8"/>
    <w:rsid w:val="00FF51D0"/>
    <w:rsid w:val="00FF52CC"/>
    <w:rsid w:val="00FF5317"/>
    <w:rsid w:val="00FF5507"/>
    <w:rsid w:val="00FF5929"/>
    <w:rsid w:val="00FF61EC"/>
    <w:rsid w:val="00FF6227"/>
    <w:rsid w:val="00FF62EF"/>
    <w:rsid w:val="00FF68C4"/>
    <w:rsid w:val="00FF71B2"/>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hAnsi="Arial"/>
      <w:b/>
      <w:lang w:eastAsia="en-US"/>
    </w:rPr>
  </w:style>
  <w:style w:type="character" w:customStyle="1" w:styleId="TACChar">
    <w:name w:val="TAC Char"/>
    <w:link w:val="TAC"/>
    <w:qFormat/>
    <w:locked/>
    <w:rsid w:val="00404024"/>
    <w:rPr>
      <w:rFonts w:ascii="Arial" w:hAnsi="Arial"/>
      <w:sz w:val="18"/>
      <w:lang w:eastAsia="en-US"/>
    </w:rPr>
  </w:style>
  <w:style w:type="character" w:customStyle="1" w:styleId="TAHCar">
    <w:name w:val="TAH Car"/>
    <w:link w:val="TAH"/>
    <w:qFormat/>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2"/>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916DBA"/>
    <w:rPr>
      <w:rFonts w:ascii="Times New Roman" w:eastAsia="Times New Roman" w:hAnsi="Times New Roman"/>
      <w:sz w:val="24"/>
      <w:szCs w:val="24"/>
      <w:lang w:eastAsia="en-US"/>
    </w:rPr>
  </w:style>
  <w:style w:type="paragraph" w:customStyle="1" w:styleId="References">
    <w:name w:val="References"/>
    <w:basedOn w:val="Normal"/>
    <w:rsid w:val="00874AF7"/>
    <w:pPr>
      <w:numPr>
        <w:ilvl w:val="2"/>
        <w:numId w:val="3"/>
      </w:numPr>
      <w:tabs>
        <w:tab w:val="left" w:pos="1440"/>
      </w:tabs>
      <w:overflowPunct/>
      <w:autoSpaceDE/>
      <w:autoSpaceDN/>
      <w:adjustRightInd/>
      <w:spacing w:after="0"/>
      <w:textAlignment w:val="auto"/>
    </w:pPr>
    <w:rPr>
      <w:rFonts w:eastAsia="Times New Roman"/>
      <w:szCs w:val="24"/>
    </w:rPr>
  </w:style>
  <w:style w:type="paragraph" w:customStyle="1" w:styleId="RAN1bullet1">
    <w:name w:val="RAN1 bullet1"/>
    <w:basedOn w:val="Normal"/>
    <w:link w:val="RAN1bullet1Char"/>
    <w:qFormat/>
    <w:rsid w:val="00E33DB8"/>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33DB8"/>
    <w:rPr>
      <w:rFonts w:ascii="Times" w:eastAsia="Batang" w:hAnsi="Times"/>
      <w:szCs w:val="24"/>
      <w:lang w:val="en-GB" w:eastAsia="x-none"/>
    </w:rPr>
  </w:style>
  <w:style w:type="character" w:customStyle="1" w:styleId="CommentTextChar">
    <w:name w:val="Comment Text Char"/>
    <w:link w:val="CommentText"/>
    <w:uiPriority w:val="99"/>
    <w:qFormat/>
    <w:rsid w:val="00D01951"/>
    <w:rPr>
      <w:rFonts w:ascii="Times New Roman" w:hAnsi="Times New Roman"/>
      <w:lang w:eastAsia="en-US"/>
    </w:rPr>
  </w:style>
  <w:style w:type="character" w:customStyle="1" w:styleId="B1Zchn">
    <w:name w:val="B1 Zchn"/>
    <w:rsid w:val="00A805AD"/>
    <w:rPr>
      <w:lang w:eastAsia="en-US"/>
    </w:rPr>
  </w:style>
  <w:style w:type="character" w:customStyle="1" w:styleId="PLChar">
    <w:name w:val="PL Char"/>
    <w:link w:val="PL"/>
    <w:qFormat/>
    <w:rsid w:val="00A36D71"/>
    <w:rPr>
      <w:rFonts w:ascii="Courier New" w:hAnsi="Courier New"/>
      <w:noProof/>
      <w:sz w:val="16"/>
      <w:lang w:eastAsia="en-US"/>
    </w:rPr>
  </w:style>
  <w:style w:type="character" w:customStyle="1" w:styleId="Heading1Char1">
    <w:name w:val="Heading 1 Char1"/>
    <w:link w:val="Heading1"/>
    <w:rsid w:val="004D1F3B"/>
    <w:rPr>
      <w:rFonts w:ascii="Arial" w:hAnsi="Arial"/>
      <w:sz w:val="36"/>
      <w:lang w:val="en-GB" w:eastAsia="en-US"/>
    </w:rPr>
  </w:style>
  <w:style w:type="paragraph" w:customStyle="1" w:styleId="Default">
    <w:name w:val="Default"/>
    <w:basedOn w:val="Normal"/>
    <w:rsid w:val="00B43EDF"/>
    <w:pPr>
      <w:overflowPunct/>
      <w:adjustRightInd/>
      <w:spacing w:after="0"/>
      <w:textAlignment w:val="auto"/>
    </w:pPr>
    <w:rPr>
      <w:rFonts w:eastAsiaTheme="minorEastAsia"/>
      <w:color w:val="000000"/>
      <w:sz w:val="24"/>
      <w:szCs w:val="24"/>
      <w:lang w:eastAsia="zh-CN"/>
    </w:rPr>
  </w:style>
  <w:style w:type="paragraph" w:styleId="PlainText">
    <w:name w:val="Plain Text"/>
    <w:basedOn w:val="Normal"/>
    <w:link w:val="PlainTextChar"/>
    <w:uiPriority w:val="99"/>
    <w:unhideWhenUsed/>
    <w:rsid w:val="005565A2"/>
    <w:pPr>
      <w:overflowPunct/>
      <w:autoSpaceDE/>
      <w:autoSpaceDN/>
      <w:adjustRightInd/>
      <w:spacing w:after="0"/>
      <w:textAlignment w:val="auto"/>
    </w:pPr>
    <w:rPr>
      <w:rFonts w:ascii="Courier New" w:eastAsiaTheme="minorEastAsia" w:hAnsi="Courier New" w:cs="Courier New"/>
      <w:sz w:val="22"/>
      <w:szCs w:val="22"/>
      <w:lang w:eastAsia="zh-CN"/>
    </w:rPr>
  </w:style>
  <w:style w:type="character" w:customStyle="1" w:styleId="PlainTextChar">
    <w:name w:val="Plain Text Char"/>
    <w:basedOn w:val="DefaultParagraphFont"/>
    <w:link w:val="PlainText"/>
    <w:uiPriority w:val="99"/>
    <w:rsid w:val="005565A2"/>
    <w:rPr>
      <w:rFonts w:ascii="Courier New" w:eastAsiaTheme="minorEastAsia" w:hAnsi="Courier New" w:cs="Courier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11498703">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2051219">
      <w:bodyDiv w:val="1"/>
      <w:marLeft w:val="0"/>
      <w:marRight w:val="0"/>
      <w:marTop w:val="0"/>
      <w:marBottom w:val="0"/>
      <w:divBdr>
        <w:top w:val="none" w:sz="0" w:space="0" w:color="auto"/>
        <w:left w:val="none" w:sz="0" w:space="0" w:color="auto"/>
        <w:bottom w:val="none" w:sz="0" w:space="0" w:color="auto"/>
        <w:right w:val="none" w:sz="0" w:space="0" w:color="auto"/>
      </w:divBdr>
      <w:divsChild>
        <w:div w:id="1627468383">
          <w:marLeft w:val="547"/>
          <w:marRight w:val="0"/>
          <w:marTop w:val="115"/>
          <w:marBottom w:val="0"/>
          <w:divBdr>
            <w:top w:val="none" w:sz="0" w:space="0" w:color="auto"/>
            <w:left w:val="none" w:sz="0" w:space="0" w:color="auto"/>
            <w:bottom w:val="none" w:sz="0" w:space="0" w:color="auto"/>
            <w:right w:val="none" w:sz="0" w:space="0" w:color="auto"/>
          </w:divBdr>
        </w:div>
      </w:divsChild>
    </w:div>
    <w:div w:id="102268274">
      <w:bodyDiv w:val="1"/>
      <w:marLeft w:val="0"/>
      <w:marRight w:val="0"/>
      <w:marTop w:val="0"/>
      <w:marBottom w:val="0"/>
      <w:divBdr>
        <w:top w:val="none" w:sz="0" w:space="0" w:color="auto"/>
        <w:left w:val="none" w:sz="0" w:space="0" w:color="auto"/>
        <w:bottom w:val="none" w:sz="0" w:space="0" w:color="auto"/>
        <w:right w:val="none" w:sz="0" w:space="0" w:color="auto"/>
      </w:divBdr>
    </w:div>
    <w:div w:id="176889187">
      <w:bodyDiv w:val="1"/>
      <w:marLeft w:val="0"/>
      <w:marRight w:val="0"/>
      <w:marTop w:val="0"/>
      <w:marBottom w:val="0"/>
      <w:divBdr>
        <w:top w:val="none" w:sz="0" w:space="0" w:color="auto"/>
        <w:left w:val="none" w:sz="0" w:space="0" w:color="auto"/>
        <w:bottom w:val="none" w:sz="0" w:space="0" w:color="auto"/>
        <w:right w:val="none" w:sz="0" w:space="0" w:color="auto"/>
      </w:divBdr>
      <w:divsChild>
        <w:div w:id="715735848">
          <w:marLeft w:val="274"/>
          <w:marRight w:val="0"/>
          <w:marTop w:val="240"/>
          <w:marBottom w:val="0"/>
          <w:divBdr>
            <w:top w:val="none" w:sz="0" w:space="0" w:color="auto"/>
            <w:left w:val="none" w:sz="0" w:space="0" w:color="auto"/>
            <w:bottom w:val="none" w:sz="0" w:space="0" w:color="auto"/>
            <w:right w:val="none" w:sz="0" w:space="0" w:color="auto"/>
          </w:divBdr>
        </w:div>
        <w:div w:id="1335500600">
          <w:marLeft w:val="274"/>
          <w:marRight w:val="0"/>
          <w:marTop w:val="240"/>
          <w:marBottom w:val="0"/>
          <w:divBdr>
            <w:top w:val="none" w:sz="0" w:space="0" w:color="auto"/>
            <w:left w:val="none" w:sz="0" w:space="0" w:color="auto"/>
            <w:bottom w:val="none" w:sz="0" w:space="0" w:color="auto"/>
            <w:right w:val="none" w:sz="0" w:space="0" w:color="auto"/>
          </w:divBdr>
        </w:div>
        <w:div w:id="803423257">
          <w:marLeft w:val="274"/>
          <w:marRight w:val="0"/>
          <w:marTop w:val="240"/>
          <w:marBottom w:val="0"/>
          <w:divBdr>
            <w:top w:val="none" w:sz="0" w:space="0" w:color="auto"/>
            <w:left w:val="none" w:sz="0" w:space="0" w:color="auto"/>
            <w:bottom w:val="none" w:sz="0" w:space="0" w:color="auto"/>
            <w:right w:val="none" w:sz="0" w:space="0" w:color="auto"/>
          </w:divBdr>
        </w:div>
        <w:div w:id="1574505276">
          <w:marLeft w:val="533"/>
          <w:marRight w:val="0"/>
          <w:marTop w:val="0"/>
          <w:marBottom w:val="0"/>
          <w:divBdr>
            <w:top w:val="none" w:sz="0" w:space="0" w:color="auto"/>
            <w:left w:val="none" w:sz="0" w:space="0" w:color="auto"/>
            <w:bottom w:val="none" w:sz="0" w:space="0" w:color="auto"/>
            <w:right w:val="none" w:sz="0" w:space="0" w:color="auto"/>
          </w:divBdr>
        </w:div>
      </w:divsChild>
    </w:div>
    <w:div w:id="197818121">
      <w:bodyDiv w:val="1"/>
      <w:marLeft w:val="0"/>
      <w:marRight w:val="0"/>
      <w:marTop w:val="0"/>
      <w:marBottom w:val="0"/>
      <w:divBdr>
        <w:top w:val="none" w:sz="0" w:space="0" w:color="auto"/>
        <w:left w:val="none" w:sz="0" w:space="0" w:color="auto"/>
        <w:bottom w:val="none" w:sz="0" w:space="0" w:color="auto"/>
        <w:right w:val="none" w:sz="0" w:space="0" w:color="auto"/>
      </w:divBdr>
      <w:divsChild>
        <w:div w:id="290988054">
          <w:marLeft w:val="1627"/>
          <w:marRight w:val="0"/>
          <w:marTop w:val="8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9773221">
      <w:bodyDiv w:val="1"/>
      <w:marLeft w:val="0"/>
      <w:marRight w:val="0"/>
      <w:marTop w:val="0"/>
      <w:marBottom w:val="0"/>
      <w:divBdr>
        <w:top w:val="none" w:sz="0" w:space="0" w:color="auto"/>
        <w:left w:val="none" w:sz="0" w:space="0" w:color="auto"/>
        <w:bottom w:val="none" w:sz="0" w:space="0" w:color="auto"/>
        <w:right w:val="none" w:sz="0" w:space="0" w:color="auto"/>
      </w:divBdr>
      <w:divsChild>
        <w:div w:id="264849662">
          <w:marLeft w:val="547"/>
          <w:marRight w:val="0"/>
          <w:marTop w:val="115"/>
          <w:marBottom w:val="0"/>
          <w:divBdr>
            <w:top w:val="none" w:sz="0" w:space="0" w:color="auto"/>
            <w:left w:val="none" w:sz="0" w:space="0" w:color="auto"/>
            <w:bottom w:val="none" w:sz="0" w:space="0" w:color="auto"/>
            <w:right w:val="none" w:sz="0" w:space="0" w:color="auto"/>
          </w:divBdr>
        </w:div>
        <w:div w:id="2060591984">
          <w:marLeft w:val="1166"/>
          <w:marRight w:val="0"/>
          <w:marTop w:val="96"/>
          <w:marBottom w:val="0"/>
          <w:divBdr>
            <w:top w:val="none" w:sz="0" w:space="0" w:color="auto"/>
            <w:left w:val="none" w:sz="0" w:space="0" w:color="auto"/>
            <w:bottom w:val="none" w:sz="0" w:space="0" w:color="auto"/>
            <w:right w:val="none" w:sz="0" w:space="0" w:color="auto"/>
          </w:divBdr>
        </w:div>
        <w:div w:id="584147004">
          <w:marLeft w:val="1166"/>
          <w:marRight w:val="0"/>
          <w:marTop w:val="96"/>
          <w:marBottom w:val="0"/>
          <w:divBdr>
            <w:top w:val="none" w:sz="0" w:space="0" w:color="auto"/>
            <w:left w:val="none" w:sz="0" w:space="0" w:color="auto"/>
            <w:bottom w:val="none" w:sz="0" w:space="0" w:color="auto"/>
            <w:right w:val="none" w:sz="0" w:space="0" w:color="auto"/>
          </w:divBdr>
        </w:div>
      </w:divsChild>
    </w:div>
    <w:div w:id="272637194">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8095131">
      <w:bodyDiv w:val="1"/>
      <w:marLeft w:val="0"/>
      <w:marRight w:val="0"/>
      <w:marTop w:val="0"/>
      <w:marBottom w:val="0"/>
      <w:divBdr>
        <w:top w:val="none" w:sz="0" w:space="0" w:color="auto"/>
        <w:left w:val="none" w:sz="0" w:space="0" w:color="auto"/>
        <w:bottom w:val="none" w:sz="0" w:space="0" w:color="auto"/>
        <w:right w:val="none" w:sz="0" w:space="0" w:color="auto"/>
      </w:divBdr>
      <w:divsChild>
        <w:div w:id="88896671">
          <w:marLeft w:val="547"/>
          <w:marRight w:val="0"/>
          <w:marTop w:val="115"/>
          <w:marBottom w:val="0"/>
          <w:divBdr>
            <w:top w:val="none" w:sz="0" w:space="0" w:color="auto"/>
            <w:left w:val="none" w:sz="0" w:space="0" w:color="auto"/>
            <w:bottom w:val="none" w:sz="0" w:space="0" w:color="auto"/>
            <w:right w:val="none" w:sz="0" w:space="0" w:color="auto"/>
          </w:divBdr>
        </w:div>
      </w:divsChild>
    </w:div>
    <w:div w:id="337387978">
      <w:bodyDiv w:val="1"/>
      <w:marLeft w:val="0"/>
      <w:marRight w:val="0"/>
      <w:marTop w:val="0"/>
      <w:marBottom w:val="0"/>
      <w:divBdr>
        <w:top w:val="none" w:sz="0" w:space="0" w:color="auto"/>
        <w:left w:val="none" w:sz="0" w:space="0" w:color="auto"/>
        <w:bottom w:val="none" w:sz="0" w:space="0" w:color="auto"/>
        <w:right w:val="none" w:sz="0" w:space="0" w:color="auto"/>
      </w:divBdr>
    </w:div>
    <w:div w:id="350037424">
      <w:bodyDiv w:val="1"/>
      <w:marLeft w:val="0"/>
      <w:marRight w:val="0"/>
      <w:marTop w:val="0"/>
      <w:marBottom w:val="0"/>
      <w:divBdr>
        <w:top w:val="none" w:sz="0" w:space="0" w:color="auto"/>
        <w:left w:val="none" w:sz="0" w:space="0" w:color="auto"/>
        <w:bottom w:val="none" w:sz="0" w:space="0" w:color="auto"/>
        <w:right w:val="none" w:sz="0" w:space="0" w:color="auto"/>
      </w:divBdr>
    </w:div>
    <w:div w:id="362941403">
      <w:bodyDiv w:val="1"/>
      <w:marLeft w:val="0"/>
      <w:marRight w:val="0"/>
      <w:marTop w:val="0"/>
      <w:marBottom w:val="0"/>
      <w:divBdr>
        <w:top w:val="none" w:sz="0" w:space="0" w:color="auto"/>
        <w:left w:val="none" w:sz="0" w:space="0" w:color="auto"/>
        <w:bottom w:val="none" w:sz="0" w:space="0" w:color="auto"/>
        <w:right w:val="none" w:sz="0" w:space="0" w:color="auto"/>
      </w:divBdr>
      <w:divsChild>
        <w:div w:id="1656492830">
          <w:marLeft w:val="533"/>
          <w:marRight w:val="0"/>
          <w:marTop w:val="0"/>
          <w:marBottom w:val="0"/>
          <w:divBdr>
            <w:top w:val="none" w:sz="0" w:space="0" w:color="auto"/>
            <w:left w:val="none" w:sz="0" w:space="0" w:color="auto"/>
            <w:bottom w:val="none" w:sz="0" w:space="0" w:color="auto"/>
            <w:right w:val="none" w:sz="0" w:space="0" w:color="auto"/>
          </w:divBdr>
        </w:div>
      </w:divsChild>
    </w:div>
    <w:div w:id="372970368">
      <w:bodyDiv w:val="1"/>
      <w:marLeft w:val="0"/>
      <w:marRight w:val="0"/>
      <w:marTop w:val="0"/>
      <w:marBottom w:val="0"/>
      <w:divBdr>
        <w:top w:val="none" w:sz="0" w:space="0" w:color="auto"/>
        <w:left w:val="none" w:sz="0" w:space="0" w:color="auto"/>
        <w:bottom w:val="none" w:sz="0" w:space="0" w:color="auto"/>
        <w:right w:val="none" w:sz="0" w:space="0" w:color="auto"/>
      </w:divBdr>
      <w:divsChild>
        <w:div w:id="574896076">
          <w:marLeft w:val="446"/>
          <w:marRight w:val="0"/>
          <w:marTop w:val="0"/>
          <w:marBottom w:val="0"/>
          <w:divBdr>
            <w:top w:val="none" w:sz="0" w:space="0" w:color="auto"/>
            <w:left w:val="none" w:sz="0" w:space="0" w:color="auto"/>
            <w:bottom w:val="none" w:sz="0" w:space="0" w:color="auto"/>
            <w:right w:val="none" w:sz="0" w:space="0" w:color="auto"/>
          </w:divBdr>
        </w:div>
        <w:div w:id="632253367">
          <w:marLeft w:val="446"/>
          <w:marRight w:val="0"/>
          <w:marTop w:val="0"/>
          <w:marBottom w:val="0"/>
          <w:divBdr>
            <w:top w:val="none" w:sz="0" w:space="0" w:color="auto"/>
            <w:left w:val="none" w:sz="0" w:space="0" w:color="auto"/>
            <w:bottom w:val="none" w:sz="0" w:space="0" w:color="auto"/>
            <w:right w:val="none" w:sz="0" w:space="0" w:color="auto"/>
          </w:divBdr>
        </w:div>
        <w:div w:id="786580606">
          <w:marLeft w:val="446"/>
          <w:marRight w:val="0"/>
          <w:marTop w:val="0"/>
          <w:marBottom w:val="0"/>
          <w:divBdr>
            <w:top w:val="none" w:sz="0" w:space="0" w:color="auto"/>
            <w:left w:val="none" w:sz="0" w:space="0" w:color="auto"/>
            <w:bottom w:val="none" w:sz="0" w:space="0" w:color="auto"/>
            <w:right w:val="none" w:sz="0" w:space="0" w:color="auto"/>
          </w:divBdr>
        </w:div>
      </w:divsChild>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11044299">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5860014">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10547479">
      <w:bodyDiv w:val="1"/>
      <w:marLeft w:val="0"/>
      <w:marRight w:val="0"/>
      <w:marTop w:val="0"/>
      <w:marBottom w:val="0"/>
      <w:divBdr>
        <w:top w:val="none" w:sz="0" w:space="0" w:color="auto"/>
        <w:left w:val="none" w:sz="0" w:space="0" w:color="auto"/>
        <w:bottom w:val="none" w:sz="0" w:space="0" w:color="auto"/>
        <w:right w:val="none" w:sz="0" w:space="0" w:color="auto"/>
      </w:divBdr>
    </w:div>
    <w:div w:id="660888958">
      <w:bodyDiv w:val="1"/>
      <w:marLeft w:val="0"/>
      <w:marRight w:val="0"/>
      <w:marTop w:val="0"/>
      <w:marBottom w:val="0"/>
      <w:divBdr>
        <w:top w:val="none" w:sz="0" w:space="0" w:color="auto"/>
        <w:left w:val="none" w:sz="0" w:space="0" w:color="auto"/>
        <w:bottom w:val="none" w:sz="0" w:space="0" w:color="auto"/>
        <w:right w:val="none" w:sz="0" w:space="0" w:color="auto"/>
      </w:divBdr>
    </w:div>
    <w:div w:id="70209834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382145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456568">
      <w:bodyDiv w:val="1"/>
      <w:marLeft w:val="0"/>
      <w:marRight w:val="0"/>
      <w:marTop w:val="0"/>
      <w:marBottom w:val="0"/>
      <w:divBdr>
        <w:top w:val="none" w:sz="0" w:space="0" w:color="auto"/>
        <w:left w:val="none" w:sz="0" w:space="0" w:color="auto"/>
        <w:bottom w:val="none" w:sz="0" w:space="0" w:color="auto"/>
        <w:right w:val="none" w:sz="0" w:space="0" w:color="auto"/>
      </w:divBdr>
      <w:divsChild>
        <w:div w:id="1174223403">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5534160">
      <w:bodyDiv w:val="1"/>
      <w:marLeft w:val="0"/>
      <w:marRight w:val="0"/>
      <w:marTop w:val="0"/>
      <w:marBottom w:val="0"/>
      <w:divBdr>
        <w:top w:val="none" w:sz="0" w:space="0" w:color="auto"/>
        <w:left w:val="none" w:sz="0" w:space="0" w:color="auto"/>
        <w:bottom w:val="none" w:sz="0" w:space="0" w:color="auto"/>
        <w:right w:val="none" w:sz="0" w:space="0" w:color="auto"/>
      </w:divBdr>
    </w:div>
    <w:div w:id="855970800">
      <w:bodyDiv w:val="1"/>
      <w:marLeft w:val="0"/>
      <w:marRight w:val="0"/>
      <w:marTop w:val="0"/>
      <w:marBottom w:val="0"/>
      <w:divBdr>
        <w:top w:val="none" w:sz="0" w:space="0" w:color="auto"/>
        <w:left w:val="none" w:sz="0" w:space="0" w:color="auto"/>
        <w:bottom w:val="none" w:sz="0" w:space="0" w:color="auto"/>
        <w:right w:val="none" w:sz="0" w:space="0" w:color="auto"/>
      </w:divBdr>
      <w:divsChild>
        <w:div w:id="1201480806">
          <w:marLeft w:val="274"/>
          <w:marRight w:val="0"/>
          <w:marTop w:val="240"/>
          <w:marBottom w:val="0"/>
          <w:divBdr>
            <w:top w:val="none" w:sz="0" w:space="0" w:color="auto"/>
            <w:left w:val="none" w:sz="0" w:space="0" w:color="auto"/>
            <w:bottom w:val="none" w:sz="0" w:space="0" w:color="auto"/>
            <w:right w:val="none" w:sz="0" w:space="0" w:color="auto"/>
          </w:divBdr>
        </w:div>
        <w:div w:id="245963012">
          <w:marLeft w:val="806"/>
          <w:marRight w:val="0"/>
          <w:marTop w:val="0"/>
          <w:marBottom w:val="0"/>
          <w:divBdr>
            <w:top w:val="none" w:sz="0" w:space="0" w:color="auto"/>
            <w:left w:val="none" w:sz="0" w:space="0" w:color="auto"/>
            <w:bottom w:val="none" w:sz="0" w:space="0" w:color="auto"/>
            <w:right w:val="none" w:sz="0" w:space="0" w:color="auto"/>
          </w:divBdr>
        </w:div>
        <w:div w:id="324940898">
          <w:marLeft w:val="806"/>
          <w:marRight w:val="0"/>
          <w:marTop w:val="0"/>
          <w:marBottom w:val="0"/>
          <w:divBdr>
            <w:top w:val="none" w:sz="0" w:space="0" w:color="auto"/>
            <w:left w:val="none" w:sz="0" w:space="0" w:color="auto"/>
            <w:bottom w:val="none" w:sz="0" w:space="0" w:color="auto"/>
            <w:right w:val="none" w:sz="0" w:space="0" w:color="auto"/>
          </w:divBdr>
        </w:div>
        <w:div w:id="199317141">
          <w:marLeft w:val="806"/>
          <w:marRight w:val="0"/>
          <w:marTop w:val="0"/>
          <w:marBottom w:val="0"/>
          <w:divBdr>
            <w:top w:val="none" w:sz="0" w:space="0" w:color="auto"/>
            <w:left w:val="none" w:sz="0" w:space="0" w:color="auto"/>
            <w:bottom w:val="none" w:sz="0" w:space="0" w:color="auto"/>
            <w:right w:val="none" w:sz="0" w:space="0" w:color="auto"/>
          </w:divBdr>
        </w:div>
        <w:div w:id="2028017644">
          <w:marLeft w:val="806"/>
          <w:marRight w:val="0"/>
          <w:marTop w:val="0"/>
          <w:marBottom w:val="0"/>
          <w:divBdr>
            <w:top w:val="none" w:sz="0" w:space="0" w:color="auto"/>
            <w:left w:val="none" w:sz="0" w:space="0" w:color="auto"/>
            <w:bottom w:val="none" w:sz="0" w:space="0" w:color="auto"/>
            <w:right w:val="none" w:sz="0" w:space="0" w:color="auto"/>
          </w:divBdr>
        </w:div>
        <w:div w:id="598290558">
          <w:marLeft w:val="1080"/>
          <w:marRight w:val="0"/>
          <w:marTop w:val="0"/>
          <w:marBottom w:val="0"/>
          <w:divBdr>
            <w:top w:val="none" w:sz="0" w:space="0" w:color="auto"/>
            <w:left w:val="none" w:sz="0" w:space="0" w:color="auto"/>
            <w:bottom w:val="none" w:sz="0" w:space="0" w:color="auto"/>
            <w:right w:val="none" w:sz="0" w:space="0" w:color="auto"/>
          </w:divBdr>
        </w:div>
        <w:div w:id="787701107">
          <w:marLeft w:val="806"/>
          <w:marRight w:val="0"/>
          <w:marTop w:val="0"/>
          <w:marBottom w:val="0"/>
          <w:divBdr>
            <w:top w:val="none" w:sz="0" w:space="0" w:color="auto"/>
            <w:left w:val="none" w:sz="0" w:space="0" w:color="auto"/>
            <w:bottom w:val="none" w:sz="0" w:space="0" w:color="auto"/>
            <w:right w:val="none" w:sz="0" w:space="0" w:color="auto"/>
          </w:divBdr>
        </w:div>
      </w:divsChild>
    </w:div>
    <w:div w:id="869730619">
      <w:bodyDiv w:val="1"/>
      <w:marLeft w:val="0"/>
      <w:marRight w:val="0"/>
      <w:marTop w:val="0"/>
      <w:marBottom w:val="0"/>
      <w:divBdr>
        <w:top w:val="none" w:sz="0" w:space="0" w:color="auto"/>
        <w:left w:val="none" w:sz="0" w:space="0" w:color="auto"/>
        <w:bottom w:val="none" w:sz="0" w:space="0" w:color="auto"/>
        <w:right w:val="none" w:sz="0" w:space="0" w:color="auto"/>
      </w:divBdr>
      <w:divsChild>
        <w:div w:id="2064478057">
          <w:marLeft w:val="274"/>
          <w:marRight w:val="0"/>
          <w:marTop w:val="240"/>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48242709">
      <w:bodyDiv w:val="1"/>
      <w:marLeft w:val="0"/>
      <w:marRight w:val="0"/>
      <w:marTop w:val="0"/>
      <w:marBottom w:val="0"/>
      <w:divBdr>
        <w:top w:val="none" w:sz="0" w:space="0" w:color="auto"/>
        <w:left w:val="none" w:sz="0" w:space="0" w:color="auto"/>
        <w:bottom w:val="none" w:sz="0" w:space="0" w:color="auto"/>
        <w:right w:val="none" w:sz="0" w:space="0" w:color="auto"/>
      </w:divBdr>
    </w:div>
    <w:div w:id="970984275">
      <w:bodyDiv w:val="1"/>
      <w:marLeft w:val="0"/>
      <w:marRight w:val="0"/>
      <w:marTop w:val="0"/>
      <w:marBottom w:val="0"/>
      <w:divBdr>
        <w:top w:val="none" w:sz="0" w:space="0" w:color="auto"/>
        <w:left w:val="none" w:sz="0" w:space="0" w:color="auto"/>
        <w:bottom w:val="none" w:sz="0" w:space="0" w:color="auto"/>
        <w:right w:val="none" w:sz="0" w:space="0" w:color="auto"/>
      </w:divBdr>
    </w:div>
    <w:div w:id="973021353">
      <w:bodyDiv w:val="1"/>
      <w:marLeft w:val="0"/>
      <w:marRight w:val="0"/>
      <w:marTop w:val="0"/>
      <w:marBottom w:val="0"/>
      <w:divBdr>
        <w:top w:val="none" w:sz="0" w:space="0" w:color="auto"/>
        <w:left w:val="none" w:sz="0" w:space="0" w:color="auto"/>
        <w:bottom w:val="none" w:sz="0" w:space="0" w:color="auto"/>
        <w:right w:val="none" w:sz="0" w:space="0" w:color="auto"/>
      </w:divBdr>
    </w:div>
    <w:div w:id="985161088">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07363142">
      <w:bodyDiv w:val="1"/>
      <w:marLeft w:val="0"/>
      <w:marRight w:val="0"/>
      <w:marTop w:val="0"/>
      <w:marBottom w:val="0"/>
      <w:divBdr>
        <w:top w:val="none" w:sz="0" w:space="0" w:color="auto"/>
        <w:left w:val="none" w:sz="0" w:space="0" w:color="auto"/>
        <w:bottom w:val="none" w:sz="0" w:space="0" w:color="auto"/>
        <w:right w:val="none" w:sz="0" w:space="0" w:color="auto"/>
      </w:divBdr>
      <w:divsChild>
        <w:div w:id="721102091">
          <w:marLeft w:val="547"/>
          <w:marRight w:val="0"/>
          <w:marTop w:val="115"/>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28920133">
      <w:bodyDiv w:val="1"/>
      <w:marLeft w:val="0"/>
      <w:marRight w:val="0"/>
      <w:marTop w:val="0"/>
      <w:marBottom w:val="0"/>
      <w:divBdr>
        <w:top w:val="none" w:sz="0" w:space="0" w:color="auto"/>
        <w:left w:val="none" w:sz="0" w:space="0" w:color="auto"/>
        <w:bottom w:val="none" w:sz="0" w:space="0" w:color="auto"/>
        <w:right w:val="none" w:sz="0" w:space="0" w:color="auto"/>
      </w:divBdr>
    </w:div>
    <w:div w:id="1088110607">
      <w:bodyDiv w:val="1"/>
      <w:marLeft w:val="0"/>
      <w:marRight w:val="0"/>
      <w:marTop w:val="0"/>
      <w:marBottom w:val="0"/>
      <w:divBdr>
        <w:top w:val="none" w:sz="0" w:space="0" w:color="auto"/>
        <w:left w:val="none" w:sz="0" w:space="0" w:color="auto"/>
        <w:bottom w:val="none" w:sz="0" w:space="0" w:color="auto"/>
        <w:right w:val="none" w:sz="0" w:space="0" w:color="auto"/>
      </w:divBdr>
      <w:divsChild>
        <w:div w:id="1945308499">
          <w:marLeft w:val="547"/>
          <w:marRight w:val="0"/>
          <w:marTop w:val="115"/>
          <w:marBottom w:val="0"/>
          <w:divBdr>
            <w:top w:val="none" w:sz="0" w:space="0" w:color="auto"/>
            <w:left w:val="none" w:sz="0" w:space="0" w:color="auto"/>
            <w:bottom w:val="none" w:sz="0" w:space="0" w:color="auto"/>
            <w:right w:val="none" w:sz="0" w:space="0" w:color="auto"/>
          </w:divBdr>
        </w:div>
        <w:div w:id="323899961">
          <w:marLeft w:val="1166"/>
          <w:marRight w:val="0"/>
          <w:marTop w:val="96"/>
          <w:marBottom w:val="0"/>
          <w:divBdr>
            <w:top w:val="none" w:sz="0" w:space="0" w:color="auto"/>
            <w:left w:val="none" w:sz="0" w:space="0" w:color="auto"/>
            <w:bottom w:val="none" w:sz="0" w:space="0" w:color="auto"/>
            <w:right w:val="none" w:sz="0" w:space="0" w:color="auto"/>
          </w:divBdr>
        </w:div>
        <w:div w:id="116708895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9292">
      <w:bodyDiv w:val="1"/>
      <w:marLeft w:val="0"/>
      <w:marRight w:val="0"/>
      <w:marTop w:val="0"/>
      <w:marBottom w:val="0"/>
      <w:divBdr>
        <w:top w:val="none" w:sz="0" w:space="0" w:color="auto"/>
        <w:left w:val="none" w:sz="0" w:space="0" w:color="auto"/>
        <w:bottom w:val="none" w:sz="0" w:space="0" w:color="auto"/>
        <w:right w:val="none" w:sz="0" w:space="0" w:color="auto"/>
      </w:divBdr>
      <w:divsChild>
        <w:div w:id="744962392">
          <w:marLeft w:val="547"/>
          <w:marRight w:val="0"/>
          <w:marTop w:val="115"/>
          <w:marBottom w:val="0"/>
          <w:divBdr>
            <w:top w:val="none" w:sz="0" w:space="0" w:color="auto"/>
            <w:left w:val="none" w:sz="0" w:space="0" w:color="auto"/>
            <w:bottom w:val="none" w:sz="0" w:space="0" w:color="auto"/>
            <w:right w:val="none" w:sz="0" w:space="0" w:color="auto"/>
          </w:divBdr>
        </w:div>
        <w:div w:id="1071386163">
          <w:marLeft w:val="1166"/>
          <w:marRight w:val="0"/>
          <w:marTop w:val="96"/>
          <w:marBottom w:val="0"/>
          <w:divBdr>
            <w:top w:val="none" w:sz="0" w:space="0" w:color="auto"/>
            <w:left w:val="none" w:sz="0" w:space="0" w:color="auto"/>
            <w:bottom w:val="none" w:sz="0" w:space="0" w:color="auto"/>
            <w:right w:val="none" w:sz="0" w:space="0" w:color="auto"/>
          </w:divBdr>
        </w:div>
        <w:div w:id="1194348662">
          <w:marLeft w:val="1166"/>
          <w:marRight w:val="0"/>
          <w:marTop w:val="96"/>
          <w:marBottom w:val="0"/>
          <w:divBdr>
            <w:top w:val="none" w:sz="0" w:space="0" w:color="auto"/>
            <w:left w:val="none" w:sz="0" w:space="0" w:color="auto"/>
            <w:bottom w:val="none" w:sz="0" w:space="0" w:color="auto"/>
            <w:right w:val="none" w:sz="0" w:space="0" w:color="auto"/>
          </w:divBdr>
        </w:div>
        <w:div w:id="418604250">
          <w:marLeft w:val="1627"/>
          <w:marRight w:val="0"/>
          <w:marTop w:val="86"/>
          <w:marBottom w:val="0"/>
          <w:divBdr>
            <w:top w:val="none" w:sz="0" w:space="0" w:color="auto"/>
            <w:left w:val="none" w:sz="0" w:space="0" w:color="auto"/>
            <w:bottom w:val="none" w:sz="0" w:space="0" w:color="auto"/>
            <w:right w:val="none" w:sz="0" w:space="0" w:color="auto"/>
          </w:divBdr>
        </w:div>
        <w:div w:id="2092117894">
          <w:marLeft w:val="1627"/>
          <w:marRight w:val="0"/>
          <w:marTop w:val="86"/>
          <w:marBottom w:val="0"/>
          <w:divBdr>
            <w:top w:val="none" w:sz="0" w:space="0" w:color="auto"/>
            <w:left w:val="none" w:sz="0" w:space="0" w:color="auto"/>
            <w:bottom w:val="none" w:sz="0" w:space="0" w:color="auto"/>
            <w:right w:val="none" w:sz="0" w:space="0" w:color="auto"/>
          </w:divBdr>
        </w:div>
      </w:divsChild>
    </w:div>
    <w:div w:id="120752804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435974">
      <w:bodyDiv w:val="1"/>
      <w:marLeft w:val="0"/>
      <w:marRight w:val="0"/>
      <w:marTop w:val="0"/>
      <w:marBottom w:val="0"/>
      <w:divBdr>
        <w:top w:val="none" w:sz="0" w:space="0" w:color="auto"/>
        <w:left w:val="none" w:sz="0" w:space="0" w:color="auto"/>
        <w:bottom w:val="none" w:sz="0" w:space="0" w:color="auto"/>
        <w:right w:val="none" w:sz="0" w:space="0" w:color="auto"/>
      </w:divBdr>
      <w:divsChild>
        <w:div w:id="1177041928">
          <w:marLeft w:val="547"/>
          <w:marRight w:val="0"/>
          <w:marTop w:val="115"/>
          <w:marBottom w:val="0"/>
          <w:divBdr>
            <w:top w:val="none" w:sz="0" w:space="0" w:color="auto"/>
            <w:left w:val="none" w:sz="0" w:space="0" w:color="auto"/>
            <w:bottom w:val="none" w:sz="0" w:space="0" w:color="auto"/>
            <w:right w:val="none" w:sz="0" w:space="0" w:color="auto"/>
          </w:divBdr>
        </w:div>
        <w:div w:id="2144417421">
          <w:marLeft w:val="1166"/>
          <w:marRight w:val="0"/>
          <w:marTop w:val="96"/>
          <w:marBottom w:val="0"/>
          <w:divBdr>
            <w:top w:val="none" w:sz="0" w:space="0" w:color="auto"/>
            <w:left w:val="none" w:sz="0" w:space="0" w:color="auto"/>
            <w:bottom w:val="none" w:sz="0" w:space="0" w:color="auto"/>
            <w:right w:val="none" w:sz="0" w:space="0" w:color="auto"/>
          </w:divBdr>
        </w:div>
        <w:div w:id="729765052">
          <w:marLeft w:val="1627"/>
          <w:marRight w:val="0"/>
          <w:marTop w:val="86"/>
          <w:marBottom w:val="0"/>
          <w:divBdr>
            <w:top w:val="none" w:sz="0" w:space="0" w:color="auto"/>
            <w:left w:val="none" w:sz="0" w:space="0" w:color="auto"/>
            <w:bottom w:val="none" w:sz="0" w:space="0" w:color="auto"/>
            <w:right w:val="none" w:sz="0" w:space="0" w:color="auto"/>
          </w:divBdr>
        </w:div>
        <w:div w:id="1707024099">
          <w:marLeft w:val="2074"/>
          <w:marRight w:val="0"/>
          <w:marTop w:val="77"/>
          <w:marBottom w:val="0"/>
          <w:divBdr>
            <w:top w:val="none" w:sz="0" w:space="0" w:color="auto"/>
            <w:left w:val="none" w:sz="0" w:space="0" w:color="auto"/>
            <w:bottom w:val="none" w:sz="0" w:space="0" w:color="auto"/>
            <w:right w:val="none" w:sz="0" w:space="0" w:color="auto"/>
          </w:divBdr>
        </w:div>
        <w:div w:id="762799320">
          <w:marLeft w:val="2074"/>
          <w:marRight w:val="0"/>
          <w:marTop w:val="77"/>
          <w:marBottom w:val="0"/>
          <w:divBdr>
            <w:top w:val="none" w:sz="0" w:space="0" w:color="auto"/>
            <w:left w:val="none" w:sz="0" w:space="0" w:color="auto"/>
            <w:bottom w:val="none" w:sz="0" w:space="0" w:color="auto"/>
            <w:right w:val="none" w:sz="0" w:space="0" w:color="auto"/>
          </w:divBdr>
        </w:div>
        <w:div w:id="1993678691">
          <w:marLeft w:val="2520"/>
          <w:marRight w:val="0"/>
          <w:marTop w:val="67"/>
          <w:marBottom w:val="0"/>
          <w:divBdr>
            <w:top w:val="none" w:sz="0" w:space="0" w:color="auto"/>
            <w:left w:val="none" w:sz="0" w:space="0" w:color="auto"/>
            <w:bottom w:val="none" w:sz="0" w:space="0" w:color="auto"/>
            <w:right w:val="none" w:sz="0" w:space="0" w:color="auto"/>
          </w:divBdr>
        </w:div>
        <w:div w:id="2062244124">
          <w:marLeft w:val="1627"/>
          <w:marRight w:val="0"/>
          <w:marTop w:val="86"/>
          <w:marBottom w:val="0"/>
          <w:divBdr>
            <w:top w:val="none" w:sz="0" w:space="0" w:color="auto"/>
            <w:left w:val="none" w:sz="0" w:space="0" w:color="auto"/>
            <w:bottom w:val="none" w:sz="0" w:space="0" w:color="auto"/>
            <w:right w:val="none" w:sz="0" w:space="0" w:color="auto"/>
          </w:divBdr>
        </w:div>
        <w:div w:id="1649552996">
          <w:marLeft w:val="2074"/>
          <w:marRight w:val="0"/>
          <w:marTop w:val="77"/>
          <w:marBottom w:val="0"/>
          <w:divBdr>
            <w:top w:val="none" w:sz="0" w:space="0" w:color="auto"/>
            <w:left w:val="none" w:sz="0" w:space="0" w:color="auto"/>
            <w:bottom w:val="none" w:sz="0" w:space="0" w:color="auto"/>
            <w:right w:val="none" w:sz="0" w:space="0" w:color="auto"/>
          </w:divBdr>
        </w:div>
      </w:divsChild>
    </w:div>
    <w:div w:id="132188789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8853374">
      <w:bodyDiv w:val="1"/>
      <w:marLeft w:val="0"/>
      <w:marRight w:val="0"/>
      <w:marTop w:val="0"/>
      <w:marBottom w:val="0"/>
      <w:divBdr>
        <w:top w:val="none" w:sz="0" w:space="0" w:color="auto"/>
        <w:left w:val="none" w:sz="0" w:space="0" w:color="auto"/>
        <w:bottom w:val="none" w:sz="0" w:space="0" w:color="auto"/>
        <w:right w:val="none" w:sz="0" w:space="0" w:color="auto"/>
      </w:divBdr>
      <w:divsChild>
        <w:div w:id="717625448">
          <w:marLeft w:val="1627"/>
          <w:marRight w:val="0"/>
          <w:marTop w:val="77"/>
          <w:marBottom w:val="0"/>
          <w:divBdr>
            <w:top w:val="none" w:sz="0" w:space="0" w:color="auto"/>
            <w:left w:val="none" w:sz="0" w:space="0" w:color="auto"/>
            <w:bottom w:val="none" w:sz="0" w:space="0" w:color="auto"/>
            <w:right w:val="none" w:sz="0" w:space="0" w:color="auto"/>
          </w:divBdr>
        </w:div>
        <w:div w:id="888341334">
          <w:marLeft w:val="2074"/>
          <w:marRight w:val="0"/>
          <w:marTop w:val="67"/>
          <w:marBottom w:val="0"/>
          <w:divBdr>
            <w:top w:val="none" w:sz="0" w:space="0" w:color="auto"/>
            <w:left w:val="none" w:sz="0" w:space="0" w:color="auto"/>
            <w:bottom w:val="none" w:sz="0" w:space="0" w:color="auto"/>
            <w:right w:val="none" w:sz="0" w:space="0" w:color="auto"/>
          </w:divBdr>
        </w:div>
        <w:div w:id="677735370">
          <w:marLeft w:val="1627"/>
          <w:marRight w:val="0"/>
          <w:marTop w:val="77"/>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31315695">
      <w:bodyDiv w:val="1"/>
      <w:marLeft w:val="0"/>
      <w:marRight w:val="0"/>
      <w:marTop w:val="0"/>
      <w:marBottom w:val="0"/>
      <w:divBdr>
        <w:top w:val="none" w:sz="0" w:space="0" w:color="auto"/>
        <w:left w:val="none" w:sz="0" w:space="0" w:color="auto"/>
        <w:bottom w:val="none" w:sz="0" w:space="0" w:color="auto"/>
        <w:right w:val="none" w:sz="0" w:space="0" w:color="auto"/>
      </w:divBdr>
      <w:divsChild>
        <w:div w:id="961770371">
          <w:marLeft w:val="547"/>
          <w:marRight w:val="0"/>
          <w:marTop w:val="115"/>
          <w:marBottom w:val="0"/>
          <w:divBdr>
            <w:top w:val="none" w:sz="0" w:space="0" w:color="auto"/>
            <w:left w:val="none" w:sz="0" w:space="0" w:color="auto"/>
            <w:bottom w:val="none" w:sz="0" w:space="0" w:color="auto"/>
            <w:right w:val="none" w:sz="0" w:space="0" w:color="auto"/>
          </w:divBdr>
        </w:div>
        <w:div w:id="541409065">
          <w:marLeft w:val="1166"/>
          <w:marRight w:val="0"/>
          <w:marTop w:val="96"/>
          <w:marBottom w:val="0"/>
          <w:divBdr>
            <w:top w:val="none" w:sz="0" w:space="0" w:color="auto"/>
            <w:left w:val="none" w:sz="0" w:space="0" w:color="auto"/>
            <w:bottom w:val="none" w:sz="0" w:space="0" w:color="auto"/>
            <w:right w:val="none" w:sz="0" w:space="0" w:color="auto"/>
          </w:divBdr>
        </w:div>
        <w:div w:id="1643579650">
          <w:marLeft w:val="1627"/>
          <w:marRight w:val="0"/>
          <w:marTop w:val="86"/>
          <w:marBottom w:val="0"/>
          <w:divBdr>
            <w:top w:val="none" w:sz="0" w:space="0" w:color="auto"/>
            <w:left w:val="none" w:sz="0" w:space="0" w:color="auto"/>
            <w:bottom w:val="none" w:sz="0" w:space="0" w:color="auto"/>
            <w:right w:val="none" w:sz="0" w:space="0" w:color="auto"/>
          </w:divBdr>
        </w:div>
        <w:div w:id="370032706">
          <w:marLeft w:val="2074"/>
          <w:marRight w:val="0"/>
          <w:marTop w:val="77"/>
          <w:marBottom w:val="0"/>
          <w:divBdr>
            <w:top w:val="none" w:sz="0" w:space="0" w:color="auto"/>
            <w:left w:val="none" w:sz="0" w:space="0" w:color="auto"/>
            <w:bottom w:val="none" w:sz="0" w:space="0" w:color="auto"/>
            <w:right w:val="none" w:sz="0" w:space="0" w:color="auto"/>
          </w:divBdr>
        </w:div>
        <w:div w:id="1690637035">
          <w:marLeft w:val="2074"/>
          <w:marRight w:val="0"/>
          <w:marTop w:val="77"/>
          <w:marBottom w:val="0"/>
          <w:divBdr>
            <w:top w:val="none" w:sz="0" w:space="0" w:color="auto"/>
            <w:left w:val="none" w:sz="0" w:space="0" w:color="auto"/>
            <w:bottom w:val="none" w:sz="0" w:space="0" w:color="auto"/>
            <w:right w:val="none" w:sz="0" w:space="0" w:color="auto"/>
          </w:divBdr>
        </w:div>
        <w:div w:id="1727290574">
          <w:marLeft w:val="2520"/>
          <w:marRight w:val="0"/>
          <w:marTop w:val="67"/>
          <w:marBottom w:val="0"/>
          <w:divBdr>
            <w:top w:val="none" w:sz="0" w:space="0" w:color="auto"/>
            <w:left w:val="none" w:sz="0" w:space="0" w:color="auto"/>
            <w:bottom w:val="none" w:sz="0" w:space="0" w:color="auto"/>
            <w:right w:val="none" w:sz="0" w:space="0" w:color="auto"/>
          </w:divBdr>
        </w:div>
        <w:div w:id="1463958103">
          <w:marLeft w:val="1627"/>
          <w:marRight w:val="0"/>
          <w:marTop w:val="86"/>
          <w:marBottom w:val="0"/>
          <w:divBdr>
            <w:top w:val="none" w:sz="0" w:space="0" w:color="auto"/>
            <w:left w:val="none" w:sz="0" w:space="0" w:color="auto"/>
            <w:bottom w:val="none" w:sz="0" w:space="0" w:color="auto"/>
            <w:right w:val="none" w:sz="0" w:space="0" w:color="auto"/>
          </w:divBdr>
        </w:div>
        <w:div w:id="1474254789">
          <w:marLeft w:val="2074"/>
          <w:marRight w:val="0"/>
          <w:marTop w:val="77"/>
          <w:marBottom w:val="0"/>
          <w:divBdr>
            <w:top w:val="none" w:sz="0" w:space="0" w:color="auto"/>
            <w:left w:val="none" w:sz="0" w:space="0" w:color="auto"/>
            <w:bottom w:val="none" w:sz="0" w:space="0" w:color="auto"/>
            <w:right w:val="none" w:sz="0" w:space="0" w:color="auto"/>
          </w:divBdr>
        </w:div>
      </w:divsChild>
    </w:div>
    <w:div w:id="1432314002">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6865">
      <w:bodyDiv w:val="1"/>
      <w:marLeft w:val="0"/>
      <w:marRight w:val="0"/>
      <w:marTop w:val="0"/>
      <w:marBottom w:val="0"/>
      <w:divBdr>
        <w:top w:val="none" w:sz="0" w:space="0" w:color="auto"/>
        <w:left w:val="none" w:sz="0" w:space="0" w:color="auto"/>
        <w:bottom w:val="none" w:sz="0" w:space="0" w:color="auto"/>
        <w:right w:val="none" w:sz="0" w:space="0" w:color="auto"/>
      </w:divBdr>
      <w:divsChild>
        <w:div w:id="194465840">
          <w:marLeft w:val="1166"/>
          <w:marRight w:val="0"/>
          <w:marTop w:val="82"/>
          <w:marBottom w:val="0"/>
          <w:divBdr>
            <w:top w:val="none" w:sz="0" w:space="0" w:color="auto"/>
            <w:left w:val="none" w:sz="0" w:space="0" w:color="auto"/>
            <w:bottom w:val="none" w:sz="0" w:space="0" w:color="auto"/>
            <w:right w:val="none" w:sz="0" w:space="0" w:color="auto"/>
          </w:divBdr>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34750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03606776">
      <w:bodyDiv w:val="1"/>
      <w:marLeft w:val="0"/>
      <w:marRight w:val="0"/>
      <w:marTop w:val="0"/>
      <w:marBottom w:val="0"/>
      <w:divBdr>
        <w:top w:val="none" w:sz="0" w:space="0" w:color="auto"/>
        <w:left w:val="none" w:sz="0" w:space="0" w:color="auto"/>
        <w:bottom w:val="none" w:sz="0" w:space="0" w:color="auto"/>
        <w:right w:val="none" w:sz="0" w:space="0" w:color="auto"/>
      </w:divBdr>
      <w:divsChild>
        <w:div w:id="494805821">
          <w:marLeft w:val="806"/>
          <w:marRight w:val="0"/>
          <w:marTop w:val="0"/>
          <w:marBottom w:val="0"/>
          <w:divBdr>
            <w:top w:val="none" w:sz="0" w:space="0" w:color="auto"/>
            <w:left w:val="none" w:sz="0" w:space="0" w:color="auto"/>
            <w:bottom w:val="none" w:sz="0" w:space="0" w:color="auto"/>
            <w:right w:val="none" w:sz="0" w:space="0" w:color="auto"/>
          </w:divBdr>
        </w:div>
      </w:divsChild>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517808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2872610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36215785">
      <w:bodyDiv w:val="1"/>
      <w:marLeft w:val="0"/>
      <w:marRight w:val="0"/>
      <w:marTop w:val="0"/>
      <w:marBottom w:val="0"/>
      <w:divBdr>
        <w:top w:val="none" w:sz="0" w:space="0" w:color="auto"/>
        <w:left w:val="none" w:sz="0" w:space="0" w:color="auto"/>
        <w:bottom w:val="none" w:sz="0" w:space="0" w:color="auto"/>
        <w:right w:val="none" w:sz="0" w:space="0" w:color="auto"/>
      </w:divBdr>
    </w:div>
    <w:div w:id="1844858885">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9800146">
      <w:bodyDiv w:val="1"/>
      <w:marLeft w:val="0"/>
      <w:marRight w:val="0"/>
      <w:marTop w:val="0"/>
      <w:marBottom w:val="0"/>
      <w:divBdr>
        <w:top w:val="none" w:sz="0" w:space="0" w:color="auto"/>
        <w:left w:val="none" w:sz="0" w:space="0" w:color="auto"/>
        <w:bottom w:val="none" w:sz="0" w:space="0" w:color="auto"/>
        <w:right w:val="none" w:sz="0" w:space="0" w:color="auto"/>
      </w:divBdr>
      <w:divsChild>
        <w:div w:id="849562392">
          <w:marLeft w:val="806"/>
          <w:marRight w:val="0"/>
          <w:marTop w:val="0"/>
          <w:marBottom w:val="0"/>
          <w:divBdr>
            <w:top w:val="none" w:sz="0" w:space="0" w:color="auto"/>
            <w:left w:val="none" w:sz="0" w:space="0" w:color="auto"/>
            <w:bottom w:val="none" w:sz="0" w:space="0" w:color="auto"/>
            <w:right w:val="none" w:sz="0" w:space="0" w:color="auto"/>
          </w:divBdr>
        </w:div>
      </w:divsChild>
    </w:div>
    <w:div w:id="1891502378">
      <w:bodyDiv w:val="1"/>
      <w:marLeft w:val="0"/>
      <w:marRight w:val="0"/>
      <w:marTop w:val="0"/>
      <w:marBottom w:val="0"/>
      <w:divBdr>
        <w:top w:val="none" w:sz="0" w:space="0" w:color="auto"/>
        <w:left w:val="none" w:sz="0" w:space="0" w:color="auto"/>
        <w:bottom w:val="none" w:sz="0" w:space="0" w:color="auto"/>
        <w:right w:val="none" w:sz="0" w:space="0" w:color="auto"/>
      </w:divBdr>
      <w:divsChild>
        <w:div w:id="208538470">
          <w:marLeft w:val="547"/>
          <w:marRight w:val="0"/>
          <w:marTop w:val="115"/>
          <w:marBottom w:val="0"/>
          <w:divBdr>
            <w:top w:val="none" w:sz="0" w:space="0" w:color="auto"/>
            <w:left w:val="none" w:sz="0" w:space="0" w:color="auto"/>
            <w:bottom w:val="none" w:sz="0" w:space="0" w:color="auto"/>
            <w:right w:val="none" w:sz="0" w:space="0" w:color="auto"/>
          </w:divBdr>
        </w:div>
        <w:div w:id="1303851168">
          <w:marLeft w:val="1166"/>
          <w:marRight w:val="0"/>
          <w:marTop w:val="96"/>
          <w:marBottom w:val="0"/>
          <w:divBdr>
            <w:top w:val="none" w:sz="0" w:space="0" w:color="auto"/>
            <w:left w:val="none" w:sz="0" w:space="0" w:color="auto"/>
            <w:bottom w:val="none" w:sz="0" w:space="0" w:color="auto"/>
            <w:right w:val="none" w:sz="0" w:space="0" w:color="auto"/>
          </w:divBdr>
        </w:div>
        <w:div w:id="2111267516">
          <w:marLeft w:val="1627"/>
          <w:marRight w:val="0"/>
          <w:marTop w:val="86"/>
          <w:marBottom w:val="0"/>
          <w:divBdr>
            <w:top w:val="none" w:sz="0" w:space="0" w:color="auto"/>
            <w:left w:val="none" w:sz="0" w:space="0" w:color="auto"/>
            <w:bottom w:val="none" w:sz="0" w:space="0" w:color="auto"/>
            <w:right w:val="none" w:sz="0" w:space="0" w:color="auto"/>
          </w:divBdr>
        </w:div>
        <w:div w:id="1714304129">
          <w:marLeft w:val="2074"/>
          <w:marRight w:val="0"/>
          <w:marTop w:val="77"/>
          <w:marBottom w:val="0"/>
          <w:divBdr>
            <w:top w:val="none" w:sz="0" w:space="0" w:color="auto"/>
            <w:left w:val="none" w:sz="0" w:space="0" w:color="auto"/>
            <w:bottom w:val="none" w:sz="0" w:space="0" w:color="auto"/>
            <w:right w:val="none" w:sz="0" w:space="0" w:color="auto"/>
          </w:divBdr>
        </w:div>
        <w:div w:id="1654215744">
          <w:marLeft w:val="2074"/>
          <w:marRight w:val="0"/>
          <w:marTop w:val="77"/>
          <w:marBottom w:val="0"/>
          <w:divBdr>
            <w:top w:val="none" w:sz="0" w:space="0" w:color="auto"/>
            <w:left w:val="none" w:sz="0" w:space="0" w:color="auto"/>
            <w:bottom w:val="none" w:sz="0" w:space="0" w:color="auto"/>
            <w:right w:val="none" w:sz="0" w:space="0" w:color="auto"/>
          </w:divBdr>
        </w:div>
        <w:div w:id="233666028">
          <w:marLeft w:val="2520"/>
          <w:marRight w:val="0"/>
          <w:marTop w:val="67"/>
          <w:marBottom w:val="0"/>
          <w:divBdr>
            <w:top w:val="none" w:sz="0" w:space="0" w:color="auto"/>
            <w:left w:val="none" w:sz="0" w:space="0" w:color="auto"/>
            <w:bottom w:val="none" w:sz="0" w:space="0" w:color="auto"/>
            <w:right w:val="none" w:sz="0" w:space="0" w:color="auto"/>
          </w:divBdr>
        </w:div>
        <w:div w:id="346757789">
          <w:marLeft w:val="1627"/>
          <w:marRight w:val="0"/>
          <w:marTop w:val="86"/>
          <w:marBottom w:val="0"/>
          <w:divBdr>
            <w:top w:val="none" w:sz="0" w:space="0" w:color="auto"/>
            <w:left w:val="none" w:sz="0" w:space="0" w:color="auto"/>
            <w:bottom w:val="none" w:sz="0" w:space="0" w:color="auto"/>
            <w:right w:val="none" w:sz="0" w:space="0" w:color="auto"/>
          </w:divBdr>
        </w:div>
        <w:div w:id="1576277196">
          <w:marLeft w:val="2074"/>
          <w:marRight w:val="0"/>
          <w:marTop w:val="77"/>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945383">
      <w:bodyDiv w:val="1"/>
      <w:marLeft w:val="0"/>
      <w:marRight w:val="0"/>
      <w:marTop w:val="0"/>
      <w:marBottom w:val="0"/>
      <w:divBdr>
        <w:top w:val="none" w:sz="0" w:space="0" w:color="auto"/>
        <w:left w:val="none" w:sz="0" w:space="0" w:color="auto"/>
        <w:bottom w:val="none" w:sz="0" w:space="0" w:color="auto"/>
        <w:right w:val="none" w:sz="0" w:space="0" w:color="auto"/>
      </w:divBdr>
      <w:divsChild>
        <w:div w:id="50886289">
          <w:marLeft w:val="1166"/>
          <w:marRight w:val="0"/>
          <w:marTop w:val="96"/>
          <w:marBottom w:val="0"/>
          <w:divBdr>
            <w:top w:val="none" w:sz="0" w:space="0" w:color="auto"/>
            <w:left w:val="none" w:sz="0" w:space="0" w:color="auto"/>
            <w:bottom w:val="none" w:sz="0" w:space="0" w:color="auto"/>
            <w:right w:val="none" w:sz="0" w:space="0" w:color="auto"/>
          </w:divBdr>
        </w:div>
        <w:div w:id="51778133">
          <w:marLeft w:val="1166"/>
          <w:marRight w:val="0"/>
          <w:marTop w:val="96"/>
          <w:marBottom w:val="0"/>
          <w:divBdr>
            <w:top w:val="none" w:sz="0" w:space="0" w:color="auto"/>
            <w:left w:val="none" w:sz="0" w:space="0" w:color="auto"/>
            <w:bottom w:val="none" w:sz="0" w:space="0" w:color="auto"/>
            <w:right w:val="none" w:sz="0" w:space="0" w:color="auto"/>
          </w:divBdr>
        </w:div>
        <w:div w:id="2001731890">
          <w:marLeft w:val="1166"/>
          <w:marRight w:val="0"/>
          <w:marTop w:val="96"/>
          <w:marBottom w:val="0"/>
          <w:divBdr>
            <w:top w:val="none" w:sz="0" w:space="0" w:color="auto"/>
            <w:left w:val="none" w:sz="0" w:space="0" w:color="auto"/>
            <w:bottom w:val="none" w:sz="0" w:space="0" w:color="auto"/>
            <w:right w:val="none" w:sz="0" w:space="0" w:color="auto"/>
          </w:divBdr>
        </w:div>
      </w:divsChild>
    </w:div>
    <w:div w:id="1947276305">
      <w:bodyDiv w:val="1"/>
      <w:marLeft w:val="0"/>
      <w:marRight w:val="0"/>
      <w:marTop w:val="0"/>
      <w:marBottom w:val="0"/>
      <w:divBdr>
        <w:top w:val="none" w:sz="0" w:space="0" w:color="auto"/>
        <w:left w:val="none" w:sz="0" w:space="0" w:color="auto"/>
        <w:bottom w:val="none" w:sz="0" w:space="0" w:color="auto"/>
        <w:right w:val="none" w:sz="0" w:space="0" w:color="auto"/>
      </w:divBdr>
    </w:div>
    <w:div w:id="1953511102">
      <w:bodyDiv w:val="1"/>
      <w:marLeft w:val="0"/>
      <w:marRight w:val="0"/>
      <w:marTop w:val="0"/>
      <w:marBottom w:val="0"/>
      <w:divBdr>
        <w:top w:val="none" w:sz="0" w:space="0" w:color="auto"/>
        <w:left w:val="none" w:sz="0" w:space="0" w:color="auto"/>
        <w:bottom w:val="none" w:sz="0" w:space="0" w:color="auto"/>
        <w:right w:val="none" w:sz="0" w:space="0" w:color="auto"/>
      </w:divBdr>
    </w:div>
    <w:div w:id="2028601667">
      <w:bodyDiv w:val="1"/>
      <w:marLeft w:val="0"/>
      <w:marRight w:val="0"/>
      <w:marTop w:val="0"/>
      <w:marBottom w:val="0"/>
      <w:divBdr>
        <w:top w:val="none" w:sz="0" w:space="0" w:color="auto"/>
        <w:left w:val="none" w:sz="0" w:space="0" w:color="auto"/>
        <w:bottom w:val="none" w:sz="0" w:space="0" w:color="auto"/>
        <w:right w:val="none" w:sz="0" w:space="0" w:color="auto"/>
      </w:divBdr>
    </w:div>
    <w:div w:id="2037580456">
      <w:bodyDiv w:val="1"/>
      <w:marLeft w:val="0"/>
      <w:marRight w:val="0"/>
      <w:marTop w:val="0"/>
      <w:marBottom w:val="0"/>
      <w:divBdr>
        <w:top w:val="none" w:sz="0" w:space="0" w:color="auto"/>
        <w:left w:val="none" w:sz="0" w:space="0" w:color="auto"/>
        <w:bottom w:val="none" w:sz="0" w:space="0" w:color="auto"/>
        <w:right w:val="none" w:sz="0" w:space="0" w:color="auto"/>
      </w:divBdr>
      <w:divsChild>
        <w:div w:id="199171447">
          <w:marLeft w:val="274"/>
          <w:marRight w:val="0"/>
          <w:marTop w:val="240"/>
          <w:marBottom w:val="0"/>
          <w:divBdr>
            <w:top w:val="none" w:sz="0" w:space="0" w:color="auto"/>
            <w:left w:val="none" w:sz="0" w:space="0" w:color="auto"/>
            <w:bottom w:val="none" w:sz="0" w:space="0" w:color="auto"/>
            <w:right w:val="none" w:sz="0" w:space="0" w:color="auto"/>
          </w:divBdr>
        </w:div>
        <w:div w:id="440613696">
          <w:marLeft w:val="533"/>
          <w:marRight w:val="0"/>
          <w:marTop w:val="0"/>
          <w:marBottom w:val="0"/>
          <w:divBdr>
            <w:top w:val="none" w:sz="0" w:space="0" w:color="auto"/>
            <w:left w:val="none" w:sz="0" w:space="0" w:color="auto"/>
            <w:bottom w:val="none" w:sz="0" w:space="0" w:color="auto"/>
            <w:right w:val="none" w:sz="0" w:space="0" w:color="auto"/>
          </w:divBdr>
        </w:div>
        <w:div w:id="1358851889">
          <w:marLeft w:val="533"/>
          <w:marRight w:val="0"/>
          <w:marTop w:val="0"/>
          <w:marBottom w:val="0"/>
          <w:divBdr>
            <w:top w:val="none" w:sz="0" w:space="0" w:color="auto"/>
            <w:left w:val="none" w:sz="0" w:space="0" w:color="auto"/>
            <w:bottom w:val="none" w:sz="0" w:space="0" w:color="auto"/>
            <w:right w:val="none" w:sz="0" w:space="0" w:color="auto"/>
          </w:divBdr>
        </w:div>
        <w:div w:id="1279140399">
          <w:marLeft w:val="533"/>
          <w:marRight w:val="0"/>
          <w:marTop w:val="0"/>
          <w:marBottom w:val="0"/>
          <w:divBdr>
            <w:top w:val="none" w:sz="0" w:space="0" w:color="auto"/>
            <w:left w:val="none" w:sz="0" w:space="0" w:color="auto"/>
            <w:bottom w:val="none" w:sz="0" w:space="0" w:color="auto"/>
            <w:right w:val="none" w:sz="0" w:space="0" w:color="auto"/>
          </w:divBdr>
        </w:div>
      </w:divsChild>
    </w:div>
    <w:div w:id="2101367282">
      <w:bodyDiv w:val="1"/>
      <w:marLeft w:val="0"/>
      <w:marRight w:val="0"/>
      <w:marTop w:val="0"/>
      <w:marBottom w:val="0"/>
      <w:divBdr>
        <w:top w:val="none" w:sz="0" w:space="0" w:color="auto"/>
        <w:left w:val="none" w:sz="0" w:space="0" w:color="auto"/>
        <w:bottom w:val="none" w:sz="0" w:space="0" w:color="auto"/>
        <w:right w:val="none" w:sz="0" w:space="0" w:color="auto"/>
      </w:divBdr>
      <w:divsChild>
        <w:div w:id="1247110674">
          <w:marLeft w:val="547"/>
          <w:marRight w:val="0"/>
          <w:marTop w:val="115"/>
          <w:marBottom w:val="0"/>
          <w:divBdr>
            <w:top w:val="none" w:sz="0" w:space="0" w:color="auto"/>
            <w:left w:val="none" w:sz="0" w:space="0" w:color="auto"/>
            <w:bottom w:val="none" w:sz="0" w:space="0" w:color="auto"/>
            <w:right w:val="none" w:sz="0" w:space="0" w:color="auto"/>
          </w:divBdr>
        </w:div>
        <w:div w:id="118571425">
          <w:marLeft w:val="1166"/>
          <w:marRight w:val="0"/>
          <w:marTop w:val="96"/>
          <w:marBottom w:val="0"/>
          <w:divBdr>
            <w:top w:val="none" w:sz="0" w:space="0" w:color="auto"/>
            <w:left w:val="none" w:sz="0" w:space="0" w:color="auto"/>
            <w:bottom w:val="none" w:sz="0" w:space="0" w:color="auto"/>
            <w:right w:val="none" w:sz="0" w:space="0" w:color="auto"/>
          </w:divBdr>
        </w:div>
        <w:div w:id="1693260309">
          <w:marLeft w:val="1627"/>
          <w:marRight w:val="0"/>
          <w:marTop w:val="86"/>
          <w:marBottom w:val="0"/>
          <w:divBdr>
            <w:top w:val="none" w:sz="0" w:space="0" w:color="auto"/>
            <w:left w:val="none" w:sz="0" w:space="0" w:color="auto"/>
            <w:bottom w:val="none" w:sz="0" w:space="0" w:color="auto"/>
            <w:right w:val="none" w:sz="0" w:space="0" w:color="auto"/>
          </w:divBdr>
        </w:div>
        <w:div w:id="1441296125">
          <w:marLeft w:val="2074"/>
          <w:marRight w:val="0"/>
          <w:marTop w:val="77"/>
          <w:marBottom w:val="0"/>
          <w:divBdr>
            <w:top w:val="none" w:sz="0" w:space="0" w:color="auto"/>
            <w:left w:val="none" w:sz="0" w:space="0" w:color="auto"/>
            <w:bottom w:val="none" w:sz="0" w:space="0" w:color="auto"/>
            <w:right w:val="none" w:sz="0" w:space="0" w:color="auto"/>
          </w:divBdr>
        </w:div>
        <w:div w:id="759103864">
          <w:marLeft w:val="2074"/>
          <w:marRight w:val="0"/>
          <w:marTop w:val="77"/>
          <w:marBottom w:val="0"/>
          <w:divBdr>
            <w:top w:val="none" w:sz="0" w:space="0" w:color="auto"/>
            <w:left w:val="none" w:sz="0" w:space="0" w:color="auto"/>
            <w:bottom w:val="none" w:sz="0" w:space="0" w:color="auto"/>
            <w:right w:val="none" w:sz="0" w:space="0" w:color="auto"/>
          </w:divBdr>
        </w:div>
        <w:div w:id="1498612675">
          <w:marLeft w:val="2520"/>
          <w:marRight w:val="0"/>
          <w:marTop w:val="67"/>
          <w:marBottom w:val="0"/>
          <w:divBdr>
            <w:top w:val="none" w:sz="0" w:space="0" w:color="auto"/>
            <w:left w:val="none" w:sz="0" w:space="0" w:color="auto"/>
            <w:bottom w:val="none" w:sz="0" w:space="0" w:color="auto"/>
            <w:right w:val="none" w:sz="0" w:space="0" w:color="auto"/>
          </w:divBdr>
        </w:div>
        <w:div w:id="1023088631">
          <w:marLeft w:val="1627"/>
          <w:marRight w:val="0"/>
          <w:marTop w:val="86"/>
          <w:marBottom w:val="0"/>
          <w:divBdr>
            <w:top w:val="none" w:sz="0" w:space="0" w:color="auto"/>
            <w:left w:val="none" w:sz="0" w:space="0" w:color="auto"/>
            <w:bottom w:val="none" w:sz="0" w:space="0" w:color="auto"/>
            <w:right w:val="none" w:sz="0" w:space="0" w:color="auto"/>
          </w:divBdr>
        </w:div>
        <w:div w:id="257757465">
          <w:marLeft w:val="2074"/>
          <w:marRight w:val="0"/>
          <w:marTop w:val="77"/>
          <w:marBottom w:val="0"/>
          <w:divBdr>
            <w:top w:val="none" w:sz="0" w:space="0" w:color="auto"/>
            <w:left w:val="none" w:sz="0" w:space="0" w:color="auto"/>
            <w:bottom w:val="none" w:sz="0" w:space="0" w:color="auto"/>
            <w:right w:val="none" w:sz="0" w:space="0" w:color="auto"/>
          </w:divBdr>
        </w:div>
      </w:divsChild>
    </w:div>
    <w:div w:id="2121679926">
      <w:bodyDiv w:val="1"/>
      <w:marLeft w:val="0"/>
      <w:marRight w:val="0"/>
      <w:marTop w:val="0"/>
      <w:marBottom w:val="0"/>
      <w:divBdr>
        <w:top w:val="none" w:sz="0" w:space="0" w:color="auto"/>
        <w:left w:val="none" w:sz="0" w:space="0" w:color="auto"/>
        <w:bottom w:val="none" w:sz="0" w:space="0" w:color="auto"/>
        <w:right w:val="none" w:sz="0" w:space="0" w:color="auto"/>
      </w:divBdr>
      <w:divsChild>
        <w:div w:id="318190202">
          <w:marLeft w:val="547"/>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HR33RHYHUWRF-4-7653</_dlc_DocId>
    <_dlc_DocIdUrl xmlns="c06861ca-3f08-4d07-bff7-bb15bac121f4">
      <Url>https://projects.qualcomm.com/sites/pentari/_layouts/15/DocIdRedir.aspx?ID=HR33RHYHUWRF-4-7653</Url>
      <Description>HR33RHYHUWRF-4-7653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documentManagement/types"/>
    <ds:schemaRef ds:uri="http://purl.org/dc/terms/"/>
    <ds:schemaRef ds:uri="http://schemas.openxmlformats.org/package/2006/metadata/core-properties"/>
    <ds:schemaRef ds:uri="http://purl.org/dc/elements/1.1/"/>
    <ds:schemaRef ds:uri="c06861ca-3f08-4d07-bff7-bb15bac121f4"/>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A3E0FF-F4DA-4A2C-8DBB-732712AD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7818</TotalTime>
  <Pages>5</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Europe</dc:creator>
  <cp:keywords/>
  <cp:lastModifiedBy>Qualcomm</cp:lastModifiedBy>
  <cp:revision>3137</cp:revision>
  <cp:lastPrinted>2010-10-04T23:31:00Z</cp:lastPrinted>
  <dcterms:created xsi:type="dcterms:W3CDTF">2018-01-13T06:02:00Z</dcterms:created>
  <dcterms:modified xsi:type="dcterms:W3CDTF">2018-11-03T00:08:00Z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335a9442-b394-4349-8a0b-12ce51180edd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